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C89C7" w14:textId="77777777" w:rsidR="00DF3C82" w:rsidRPr="009B6008" w:rsidRDefault="0028292E" w:rsidP="00A61B8F">
      <w:pPr>
        <w:pStyle w:val="Nagwek1"/>
        <w:spacing w:before="240" w:after="240" w:line="276" w:lineRule="auto"/>
      </w:pPr>
      <w:r w:rsidRPr="009B6008">
        <w:t xml:space="preserve">Dodatkowe warunki dotyczące kwalifikowalności w uzupełnieniu do </w:t>
      </w:r>
      <w:r w:rsidRPr="00A61B8F">
        <w:t>Wytycznych dotyczących kwalifikowalności wydatków na lata 2021-2027</w:t>
      </w:r>
      <w:r w:rsidRPr="009B6008">
        <w:t>:</w:t>
      </w:r>
    </w:p>
    <w:p w14:paraId="79AE722E" w14:textId="4DA403B6" w:rsidR="00DF3C82" w:rsidRPr="00A61B8F" w:rsidRDefault="007D6D5B" w:rsidP="00A61B8F">
      <w:pPr>
        <w:pStyle w:val="Akapitzlist"/>
        <w:numPr>
          <w:ilvl w:val="0"/>
          <w:numId w:val="75"/>
        </w:numPr>
        <w:spacing w:line="276" w:lineRule="auto"/>
        <w:rPr>
          <w:rFonts w:ascii="Open Sans Light" w:hAnsi="Open Sans Light" w:cs="Open Sans Light"/>
          <w:b/>
          <w:bCs/>
        </w:rPr>
      </w:pPr>
      <w:r w:rsidRPr="00A61B8F">
        <w:rPr>
          <w:rFonts w:ascii="Open Sans Light" w:hAnsi="Open Sans Light" w:cs="Open Sans Light"/>
          <w:b/>
          <w:bCs/>
        </w:rPr>
        <w:t>W przypadku wydatków nie uwzględnionych w niniejszym załączniku</w:t>
      </w:r>
      <w:r w:rsidR="00F814E4" w:rsidRPr="00A61B8F">
        <w:rPr>
          <w:rFonts w:ascii="Open Sans Light" w:hAnsi="Open Sans Light" w:cs="Open Sans Light"/>
          <w:b/>
          <w:bCs/>
        </w:rPr>
        <w:t>,</w:t>
      </w:r>
      <w:r w:rsidRPr="00A61B8F">
        <w:rPr>
          <w:rFonts w:ascii="Open Sans Light" w:hAnsi="Open Sans Light" w:cs="Open Sans Light"/>
          <w:b/>
          <w:bCs/>
        </w:rPr>
        <w:t xml:space="preserve"> obowiązują warunki kwalifikowalności wynikające </w:t>
      </w:r>
      <w:proofErr w:type="gramStart"/>
      <w:r w:rsidRPr="00A61B8F">
        <w:rPr>
          <w:rFonts w:ascii="Open Sans Light" w:hAnsi="Open Sans Light" w:cs="Open Sans Light"/>
          <w:b/>
          <w:bCs/>
        </w:rPr>
        <w:t>z  Wytycznych</w:t>
      </w:r>
      <w:proofErr w:type="gramEnd"/>
      <w:r w:rsidRPr="00A61B8F">
        <w:rPr>
          <w:rFonts w:ascii="Open Sans Light" w:hAnsi="Open Sans Light" w:cs="Open Sans Light"/>
          <w:b/>
          <w:bCs/>
        </w:rPr>
        <w:t xml:space="preserve"> dotyczących kwalifikowalności wydatków na lata 2021 – 2027.</w:t>
      </w:r>
    </w:p>
    <w:p w14:paraId="58D41738" w14:textId="67FC3943" w:rsidR="00186837" w:rsidRPr="00A61B8F" w:rsidRDefault="00186837" w:rsidP="00A61B8F">
      <w:pPr>
        <w:pStyle w:val="Akapitzlist"/>
        <w:numPr>
          <w:ilvl w:val="0"/>
          <w:numId w:val="75"/>
        </w:numPr>
        <w:spacing w:line="276" w:lineRule="auto"/>
        <w:rPr>
          <w:rFonts w:ascii="Open Sans Light" w:hAnsi="Open Sans Light" w:cs="Open Sans Light"/>
          <w:sz w:val="24"/>
          <w:szCs w:val="24"/>
        </w:rPr>
      </w:pPr>
      <w:r w:rsidRPr="009B6008">
        <w:rPr>
          <w:rFonts w:ascii="Open Sans Light" w:hAnsi="Open Sans Light" w:cs="Open Sans Light"/>
          <w:sz w:val="24"/>
          <w:szCs w:val="24"/>
        </w:rPr>
        <w:t>Zastosowano nazewnictwo zgodne ze Słownikiem kategorii kosztów w SL2021</w:t>
      </w:r>
    </w:p>
    <w:p w14:paraId="4EE8E48B" w14:textId="77777777" w:rsidR="00787B5D" w:rsidRPr="009B6008" w:rsidRDefault="00787B5D" w:rsidP="00A61B8F">
      <w:pPr>
        <w:pStyle w:val="Nagwek1"/>
        <w:spacing w:line="276" w:lineRule="auto"/>
      </w:pPr>
      <w:r w:rsidRPr="009B6008">
        <w:t>Roboty budowlane</w:t>
      </w:r>
    </w:p>
    <w:p w14:paraId="57947539" w14:textId="61283B8E" w:rsidR="00787B5D" w:rsidRPr="009B6008" w:rsidRDefault="00787B5D" w:rsidP="00A61B8F">
      <w:pPr>
        <w:pStyle w:val="Akapitzlist"/>
        <w:numPr>
          <w:ilvl w:val="0"/>
          <w:numId w:val="63"/>
        </w:numPr>
        <w:spacing w:before="120" w:after="120" w:line="276" w:lineRule="auto"/>
        <w:ind w:left="284" w:hanging="284"/>
        <w:rPr>
          <w:rFonts w:ascii="Open Sans Light" w:hAnsi="Open Sans Light" w:cs="Open Sans Light"/>
        </w:rPr>
      </w:pPr>
      <w:r w:rsidRPr="009B6008">
        <w:rPr>
          <w:rFonts w:ascii="Open Sans Light" w:hAnsi="Open Sans Light" w:cs="Open Sans Light"/>
        </w:rPr>
        <w:t>W zakresie robót wodociągowych i kanalizacyjnych za kwalifikowane uznaje się koszty budowy sieci, natomiast przyłącza wodociągowe i kanalizacyjne uznaje się za niekwalifikowane – pojęcia w rozumieniu ustawy o zbiorowym zaopatrzeniu w wodę</w:t>
      </w:r>
      <w:r w:rsidRPr="009B6008">
        <w:rPr>
          <w:rFonts w:ascii="Open Sans Light" w:hAnsi="Open Sans Light" w:cs="Open Sans Light"/>
        </w:rPr>
        <w:br/>
        <w:t>i zbiorowym odprowadzaniu ścieków (tj. Dz. U. 2023, poz. 537).</w:t>
      </w:r>
    </w:p>
    <w:p w14:paraId="4CA8DDC7" w14:textId="77777777" w:rsidR="00787B5D" w:rsidRPr="009B6008" w:rsidRDefault="00787B5D" w:rsidP="00A61B8F">
      <w:pPr>
        <w:pStyle w:val="Standard"/>
        <w:numPr>
          <w:ilvl w:val="0"/>
          <w:numId w:val="63"/>
        </w:numPr>
        <w:spacing w:before="120" w:after="120" w:line="276" w:lineRule="auto"/>
        <w:ind w:left="284" w:hanging="284"/>
        <w:rPr>
          <w:rFonts w:ascii="Open Sans Light" w:hAnsi="Open Sans Light" w:cs="Open Sans Light"/>
        </w:rPr>
      </w:pPr>
      <w:r w:rsidRPr="009B6008">
        <w:rPr>
          <w:rFonts w:ascii="Open Sans Light" w:hAnsi="Open Sans Light" w:cs="Open Sans Light"/>
        </w:rPr>
        <w:t>Roboty budowlane powinny być prowadzone zgodnie z obowiązującym prawem, w tym w szczególności zgodnie z ustawą Prawo budowlane. Należy zwrócić szczególną uwagę, na zgodność z przepisami w następujących obszarach:</w:t>
      </w:r>
    </w:p>
    <w:p w14:paraId="0550E806" w14:textId="3816D2C3" w:rsidR="00787B5D" w:rsidRPr="009B6008" w:rsidRDefault="00E71053" w:rsidP="00A61B8F">
      <w:pPr>
        <w:pStyle w:val="Standard"/>
        <w:numPr>
          <w:ilvl w:val="0"/>
          <w:numId w:val="55"/>
        </w:numPr>
        <w:spacing w:before="120" w:after="120" w:line="276" w:lineRule="auto"/>
        <w:ind w:left="567" w:hanging="283"/>
        <w:rPr>
          <w:rFonts w:ascii="Open Sans Light" w:hAnsi="Open Sans Light" w:cs="Open Sans Light"/>
        </w:rPr>
      </w:pPr>
      <w:r w:rsidRPr="009B6008">
        <w:rPr>
          <w:rFonts w:ascii="Open Sans Light" w:hAnsi="Open Sans Light" w:cs="Open Sans Light"/>
        </w:rPr>
        <w:t>R</w:t>
      </w:r>
      <w:r w:rsidR="00787B5D" w:rsidRPr="009B6008">
        <w:rPr>
          <w:rFonts w:ascii="Open Sans Light" w:hAnsi="Open Sans Light" w:cs="Open Sans Light"/>
        </w:rPr>
        <w:t>ozpoczęcia robót budowlanych na podstawie ostatecznej i ważnej decyzji o pozwoleniu na budowę lub zgłoszenia właściwemu organowi z zastrzeżeniem robót, które nie wymagają takiej decyzji lub zgłoszenia</w:t>
      </w:r>
      <w:r w:rsidRPr="009B6008">
        <w:rPr>
          <w:rFonts w:ascii="Open Sans Light" w:hAnsi="Open Sans Light" w:cs="Open Sans Light"/>
        </w:rPr>
        <w:t>:</w:t>
      </w:r>
    </w:p>
    <w:p w14:paraId="0BE1E1A9" w14:textId="45DFF59C" w:rsidR="00787B5D" w:rsidRPr="009B6008" w:rsidRDefault="00E71053" w:rsidP="00A61B8F">
      <w:pPr>
        <w:pStyle w:val="Standard"/>
        <w:numPr>
          <w:ilvl w:val="0"/>
          <w:numId w:val="55"/>
        </w:numPr>
        <w:spacing w:before="120" w:after="120" w:line="276" w:lineRule="auto"/>
        <w:ind w:left="567" w:hanging="283"/>
        <w:rPr>
          <w:rFonts w:ascii="Open Sans Light" w:hAnsi="Open Sans Light" w:cs="Open Sans Light"/>
        </w:rPr>
      </w:pPr>
      <w:r w:rsidRPr="009B6008">
        <w:rPr>
          <w:rFonts w:ascii="Open Sans Light" w:hAnsi="Open Sans Light" w:cs="Open Sans Light"/>
        </w:rPr>
        <w:t>W</w:t>
      </w:r>
      <w:r w:rsidR="00787B5D" w:rsidRPr="009B6008">
        <w:rPr>
          <w:rFonts w:ascii="Open Sans Light" w:hAnsi="Open Sans Light" w:cs="Open Sans Light"/>
        </w:rPr>
        <w:t>ypełnienia wymagań wskazanych w decyzji o pozwoleniu na budowę nałożonych na inwestora</w:t>
      </w:r>
      <w:r w:rsidRPr="009B6008">
        <w:rPr>
          <w:rFonts w:ascii="Open Sans Light" w:hAnsi="Open Sans Light" w:cs="Open Sans Light"/>
        </w:rPr>
        <w:t>:</w:t>
      </w:r>
    </w:p>
    <w:p w14:paraId="121FC1C9" w14:textId="5A780169" w:rsidR="00787B5D" w:rsidRPr="009B6008" w:rsidRDefault="00E71053" w:rsidP="00A61B8F">
      <w:pPr>
        <w:pStyle w:val="Standard"/>
        <w:numPr>
          <w:ilvl w:val="0"/>
          <w:numId w:val="55"/>
        </w:numPr>
        <w:spacing w:before="120" w:after="120" w:line="276" w:lineRule="auto"/>
        <w:ind w:left="567" w:hanging="283"/>
        <w:rPr>
          <w:rFonts w:ascii="Open Sans Light" w:hAnsi="Open Sans Light" w:cs="Open Sans Light"/>
        </w:rPr>
      </w:pPr>
      <w:r w:rsidRPr="009B6008">
        <w:rPr>
          <w:rFonts w:ascii="Open Sans Light" w:hAnsi="Open Sans Light" w:cs="Open Sans Light"/>
        </w:rPr>
        <w:t>P</w:t>
      </w:r>
      <w:r w:rsidR="00787B5D" w:rsidRPr="009B6008">
        <w:rPr>
          <w:rFonts w:ascii="Open Sans Light" w:hAnsi="Open Sans Light" w:cs="Open Sans Light"/>
        </w:rPr>
        <w:t>rowadzenia poprawnej dokumentacji budowy zgodnie z wymaganiami w tym zakresie</w:t>
      </w:r>
      <w:r w:rsidRPr="009B6008">
        <w:rPr>
          <w:rFonts w:ascii="Open Sans Light" w:hAnsi="Open Sans Light" w:cs="Open Sans Light"/>
        </w:rPr>
        <w:t>:</w:t>
      </w:r>
    </w:p>
    <w:p w14:paraId="6759E3F4" w14:textId="16B350AA" w:rsidR="00787B5D" w:rsidRPr="009B6008" w:rsidRDefault="00E71053" w:rsidP="00A61B8F">
      <w:pPr>
        <w:pStyle w:val="Standard"/>
        <w:numPr>
          <w:ilvl w:val="0"/>
          <w:numId w:val="55"/>
        </w:numPr>
        <w:spacing w:before="120" w:after="120" w:line="276" w:lineRule="auto"/>
        <w:ind w:left="567" w:hanging="283"/>
        <w:rPr>
          <w:rFonts w:ascii="Open Sans Light" w:hAnsi="Open Sans Light" w:cs="Open Sans Light"/>
        </w:rPr>
      </w:pPr>
      <w:r w:rsidRPr="009B6008">
        <w:rPr>
          <w:rFonts w:ascii="Open Sans Light" w:hAnsi="Open Sans Light" w:cs="Open Sans Light"/>
        </w:rPr>
        <w:t>P</w:t>
      </w:r>
      <w:r w:rsidR="00787B5D" w:rsidRPr="009B6008">
        <w:rPr>
          <w:rFonts w:ascii="Open Sans Light" w:hAnsi="Open Sans Light" w:cs="Open Sans Light"/>
        </w:rPr>
        <w:t>osiadania prawa do dysponowania nieruchomością na cele budowlane dla realizowanego przedsięwzięcia</w:t>
      </w:r>
      <w:r w:rsidRPr="009B6008">
        <w:rPr>
          <w:rFonts w:ascii="Open Sans Light" w:hAnsi="Open Sans Light" w:cs="Open Sans Light"/>
        </w:rPr>
        <w:t>:</w:t>
      </w:r>
    </w:p>
    <w:p w14:paraId="7E8B00B9" w14:textId="782A495E" w:rsidR="00787B5D" w:rsidRPr="009B6008" w:rsidRDefault="00E71053" w:rsidP="00A61B8F">
      <w:pPr>
        <w:pStyle w:val="Standard"/>
        <w:numPr>
          <w:ilvl w:val="0"/>
          <w:numId w:val="55"/>
        </w:numPr>
        <w:spacing w:before="120" w:after="120" w:line="276" w:lineRule="auto"/>
        <w:ind w:left="567" w:hanging="283"/>
        <w:rPr>
          <w:rFonts w:ascii="Open Sans Light" w:hAnsi="Open Sans Light" w:cs="Open Sans Light"/>
        </w:rPr>
      </w:pPr>
      <w:r w:rsidRPr="009B6008">
        <w:rPr>
          <w:rFonts w:ascii="Open Sans Light" w:hAnsi="Open Sans Light" w:cs="Open Sans Light"/>
        </w:rPr>
        <w:t>S</w:t>
      </w:r>
      <w:r w:rsidR="00787B5D" w:rsidRPr="009B6008">
        <w:rPr>
          <w:rFonts w:ascii="Open Sans Light" w:hAnsi="Open Sans Light" w:cs="Open Sans Light"/>
        </w:rPr>
        <w:t>pełnienia wymagań art. 54 ustawy Prawo budowlane (</w:t>
      </w:r>
      <w:r w:rsidR="00787B5D" w:rsidRPr="009B6008">
        <w:rPr>
          <w:rStyle w:val="alb-s"/>
          <w:rFonts w:ascii="Open Sans Light" w:hAnsi="Open Sans Light" w:cs="Open Sans Light"/>
        </w:rPr>
        <w:t>zawiadomienie organu o zakończeniu budowy lub pozwolenie na użytkowanie, jeśli wymagane)</w:t>
      </w:r>
      <w:r w:rsidR="00787B5D" w:rsidRPr="009B6008">
        <w:rPr>
          <w:rFonts w:ascii="Open Sans Light" w:hAnsi="Open Sans Light" w:cs="Open Sans Light"/>
        </w:rPr>
        <w:t>.</w:t>
      </w:r>
    </w:p>
    <w:p w14:paraId="35A7A76D" w14:textId="77777777" w:rsidR="00787B5D" w:rsidRPr="009B6008" w:rsidRDefault="00787B5D" w:rsidP="00A61B8F">
      <w:pPr>
        <w:pStyle w:val="Akapitzlist"/>
        <w:numPr>
          <w:ilvl w:val="0"/>
          <w:numId w:val="63"/>
        </w:numPr>
        <w:spacing w:before="120" w:after="120" w:line="276" w:lineRule="auto"/>
        <w:ind w:left="284" w:hanging="426"/>
        <w:rPr>
          <w:rFonts w:ascii="Open Sans Light" w:hAnsi="Open Sans Light" w:cs="Open Sans Light"/>
        </w:rPr>
      </w:pPr>
      <w:r w:rsidRPr="009B6008">
        <w:rPr>
          <w:rFonts w:ascii="Open Sans Light" w:hAnsi="Open Sans Light" w:cs="Open Sans Light"/>
        </w:rPr>
        <w:t>Odtworzenie nawierzchni drogi:</w:t>
      </w:r>
    </w:p>
    <w:p w14:paraId="7BCEE1ED" w14:textId="094DA386" w:rsidR="00787B5D" w:rsidRPr="009B6008" w:rsidRDefault="00787B5D" w:rsidP="00A61B8F">
      <w:pPr>
        <w:pStyle w:val="Akapitzlist"/>
        <w:numPr>
          <w:ilvl w:val="0"/>
          <w:numId w:val="56"/>
        </w:numPr>
        <w:spacing w:before="120" w:after="120" w:line="276" w:lineRule="auto"/>
        <w:rPr>
          <w:rFonts w:ascii="Open Sans Light" w:hAnsi="Open Sans Light" w:cs="Open Sans Light"/>
        </w:rPr>
      </w:pPr>
      <w:r w:rsidRPr="009B6008">
        <w:rPr>
          <w:rFonts w:ascii="Open Sans Light" w:hAnsi="Open Sans Light" w:cs="Open Sans Light"/>
        </w:rPr>
        <w:t>Kwalifikowane będą koszty związane z odtworzeniem drogi w pasie prowadzonych robót do stanu pierwotnego, tj. sprzed rozpoczęcia robót w ramach projektu, niezależnie od warunków zezwolenia na zajęcie pasa drogowego</w:t>
      </w:r>
      <w:r w:rsidR="00E71053" w:rsidRPr="009B6008">
        <w:rPr>
          <w:rFonts w:ascii="Open Sans Light" w:hAnsi="Open Sans Light" w:cs="Open Sans Light"/>
        </w:rPr>
        <w:t>;</w:t>
      </w:r>
    </w:p>
    <w:p w14:paraId="4ABE3F6D" w14:textId="0286EF46" w:rsidR="00787B5D" w:rsidRPr="009B6008" w:rsidRDefault="00787B5D" w:rsidP="00A61B8F">
      <w:pPr>
        <w:pStyle w:val="Akapitzlist"/>
        <w:numPr>
          <w:ilvl w:val="0"/>
          <w:numId w:val="56"/>
        </w:numPr>
        <w:spacing w:before="120" w:after="120" w:line="276" w:lineRule="auto"/>
        <w:rPr>
          <w:rFonts w:ascii="Open Sans Light" w:hAnsi="Open Sans Light" w:cs="Open Sans Light"/>
        </w:rPr>
      </w:pPr>
      <w:r w:rsidRPr="009B6008">
        <w:rPr>
          <w:rFonts w:ascii="Open Sans Light" w:eastAsia="Times New Roman" w:hAnsi="Open Sans Light" w:cs="Open Sans Light"/>
        </w:rPr>
        <w:lastRenderedPageBreak/>
        <w:t>Pas robót należy rozumieć jako tę część pasa drogowego, w której są bezpośrednio</w:t>
      </w:r>
      <w:r w:rsidRPr="009B6008">
        <w:rPr>
          <w:rFonts w:ascii="Open Sans Light" w:eastAsia="Times New Roman" w:hAnsi="Open Sans Light" w:cs="Open Sans Light"/>
        </w:rPr>
        <w:br/>
        <w:t xml:space="preserve">prowadzone roboty. </w:t>
      </w:r>
      <w:r w:rsidRPr="009B6008">
        <w:rPr>
          <w:rFonts w:ascii="Open Sans Light" w:hAnsi="Open Sans Light" w:cs="Open Sans Light"/>
        </w:rPr>
        <w:t>Oznacza to, że kwalifikowany będzie zakres rozbiórki i odtworzenia drogi na szerokości wykopu wraz z jego umocnieniem i ewentualnym technologicznym zakładem podbudowy i nawierzchni asfaltowej łączącym odtwarzaną konstrukcję drogi z istniejącą</w:t>
      </w:r>
      <w:r w:rsidR="00E71053" w:rsidRPr="009B6008">
        <w:rPr>
          <w:rFonts w:ascii="Open Sans Light" w:hAnsi="Open Sans Light" w:cs="Open Sans Light"/>
        </w:rPr>
        <w:t>;</w:t>
      </w:r>
    </w:p>
    <w:p w14:paraId="7F941C06" w14:textId="77777777" w:rsidR="00787B5D" w:rsidRPr="009B6008" w:rsidRDefault="00787B5D" w:rsidP="00A61B8F">
      <w:pPr>
        <w:pStyle w:val="Akapitzlist"/>
        <w:numPr>
          <w:ilvl w:val="0"/>
          <w:numId w:val="56"/>
        </w:numPr>
        <w:spacing w:before="120" w:after="120" w:line="276" w:lineRule="auto"/>
        <w:rPr>
          <w:rFonts w:ascii="Open Sans Light" w:hAnsi="Open Sans Light" w:cs="Open Sans Light"/>
        </w:rPr>
      </w:pPr>
      <w:r w:rsidRPr="009B6008">
        <w:rPr>
          <w:rFonts w:ascii="Open Sans Light" w:hAnsi="Open Sans Light" w:cs="Open Sans Light"/>
        </w:rPr>
        <w:t>Koszty robót związanych z odtworzeniem dróg poza pasem robót wyjątkowo mogą być kwalifikowane, jeżeli wynikają z warunków zezwolenia zarządcy drogi na zajęcie pasa drogowego w przypadkach:</w:t>
      </w:r>
    </w:p>
    <w:p w14:paraId="700413CE" w14:textId="3BFD6DB8" w:rsidR="00787B5D" w:rsidRPr="009B6008" w:rsidRDefault="00787B5D" w:rsidP="00A61B8F">
      <w:pPr>
        <w:pStyle w:val="Akapitzlist"/>
        <w:numPr>
          <w:ilvl w:val="0"/>
          <w:numId w:val="57"/>
        </w:numPr>
        <w:spacing w:before="120" w:after="120" w:line="276" w:lineRule="auto"/>
        <w:ind w:left="851" w:hanging="284"/>
        <w:rPr>
          <w:rFonts w:ascii="Open Sans Light" w:hAnsi="Open Sans Light" w:cs="Open Sans Light"/>
        </w:rPr>
      </w:pPr>
      <w:r w:rsidRPr="009B6008">
        <w:rPr>
          <w:rFonts w:ascii="Open Sans Light" w:hAnsi="Open Sans Light" w:cs="Open Sans Light"/>
        </w:rPr>
        <w:t>dróg gruntowych. Przez drogi gruntowe należy rozumieć drogi z nawierzchnią z gruntu rodzimego oraz utrwalone kruszywem, np. żwirem, tłuczniem itp.</w:t>
      </w:r>
      <w:r w:rsidR="00E71053" w:rsidRPr="009B6008">
        <w:rPr>
          <w:rFonts w:ascii="Open Sans Light" w:hAnsi="Open Sans Light" w:cs="Open Sans Light"/>
        </w:rPr>
        <w:t>;</w:t>
      </w:r>
    </w:p>
    <w:p w14:paraId="6778A8F7" w14:textId="77777777" w:rsidR="00787B5D" w:rsidRPr="009B6008" w:rsidRDefault="00787B5D" w:rsidP="00A61B8F">
      <w:pPr>
        <w:pStyle w:val="Akapitzlist"/>
        <w:numPr>
          <w:ilvl w:val="0"/>
          <w:numId w:val="17"/>
        </w:numPr>
        <w:spacing w:before="120" w:after="120" w:line="276" w:lineRule="auto"/>
        <w:ind w:left="851" w:hanging="284"/>
        <w:rPr>
          <w:rFonts w:ascii="Open Sans Light" w:hAnsi="Open Sans Light" w:cs="Open Sans Light"/>
        </w:rPr>
      </w:pPr>
      <w:r w:rsidRPr="009B6008">
        <w:rPr>
          <w:rFonts w:ascii="Open Sans Light" w:hAnsi="Open Sans Light" w:cs="Open Sans Light"/>
        </w:rPr>
        <w:t>dróg utwardzonych (asfaltowych, kostka brukowa itp.) wyłącznie odtworzenie wierzchniej warstwy, bez warstw pozostałych związanych z podbudową.</w:t>
      </w:r>
    </w:p>
    <w:p w14:paraId="1AF6F190" w14:textId="77777777" w:rsidR="00787B5D" w:rsidRPr="009B6008" w:rsidRDefault="00787B5D" w:rsidP="00A61B8F">
      <w:pPr>
        <w:pStyle w:val="Standard"/>
        <w:spacing w:before="120" w:after="120" w:line="276" w:lineRule="auto"/>
        <w:ind w:left="284"/>
        <w:rPr>
          <w:rFonts w:ascii="Open Sans Light" w:hAnsi="Open Sans Light" w:cs="Open Sans Light"/>
        </w:rPr>
      </w:pPr>
      <w:r w:rsidRPr="009B6008">
        <w:rPr>
          <w:rFonts w:ascii="Open Sans Light" w:hAnsi="Open Sans Light" w:cs="Open Sans Light"/>
        </w:rPr>
        <w:t>Pozostały zakres robót drogowych poza wymienionym powyżej może stanowić jedynie koszty niekwalifikowane projektu (dopuszcza się ich uwzględnienie jedynie w kosztach całkowitych projektu).</w:t>
      </w:r>
    </w:p>
    <w:p w14:paraId="0E9DCF06" w14:textId="77777777" w:rsidR="00787B5D" w:rsidRPr="009B6008" w:rsidRDefault="00787B5D" w:rsidP="00A61B8F">
      <w:pPr>
        <w:pStyle w:val="Akapitzlist"/>
        <w:numPr>
          <w:ilvl w:val="0"/>
          <w:numId w:val="58"/>
        </w:numPr>
        <w:spacing w:before="120" w:after="120" w:line="276" w:lineRule="auto"/>
        <w:ind w:left="709" w:hanging="425"/>
        <w:rPr>
          <w:rFonts w:ascii="Open Sans Light" w:hAnsi="Open Sans Light" w:cs="Open Sans Light"/>
        </w:rPr>
      </w:pPr>
      <w:r w:rsidRPr="009B6008">
        <w:rPr>
          <w:rFonts w:ascii="Open Sans Light" w:hAnsi="Open Sans Light" w:cs="Open Sans Light"/>
        </w:rPr>
        <w:t>Roboty drogowe niemające charakteru odtworzenia, np. prace polegające na podwyższeniu standardu lub kategorii drogi (np. przypadki zmiany nawierzchni gruntowej na utwardzoną lub wykonania kompleksowej przebudowy konstrukcji drogi), stanowią również koszt niekwalifikowany projektu i dopuszcza się ich uwzględnienie jedynie w kosztach całkowitych projektu.</w:t>
      </w:r>
    </w:p>
    <w:p w14:paraId="6C0DBC35" w14:textId="4B16EE76" w:rsidR="0038775B" w:rsidRPr="009B6008" w:rsidRDefault="00FE305B" w:rsidP="00A61B8F">
      <w:pPr>
        <w:pStyle w:val="Standard"/>
        <w:numPr>
          <w:ilvl w:val="0"/>
          <w:numId w:val="63"/>
        </w:numPr>
        <w:spacing w:before="120" w:after="120" w:line="276" w:lineRule="auto"/>
        <w:ind w:left="284" w:hanging="284"/>
        <w:rPr>
          <w:rFonts w:ascii="Open Sans Light" w:hAnsi="Open Sans Light" w:cs="Open Sans Light"/>
        </w:rPr>
      </w:pPr>
      <w:r w:rsidRPr="009B6008">
        <w:rPr>
          <w:rFonts w:ascii="Open Sans Light" w:hAnsi="Open Sans Light" w:cs="Open Sans Light"/>
        </w:rPr>
        <w:t xml:space="preserve">Możliwe jest kwalifikowanie robót </w:t>
      </w:r>
      <w:r w:rsidR="00D977E3" w:rsidRPr="009B6008">
        <w:rPr>
          <w:rFonts w:ascii="Open Sans Light" w:hAnsi="Open Sans Light" w:cs="Open Sans Light"/>
        </w:rPr>
        <w:t xml:space="preserve">budowlanych </w:t>
      </w:r>
      <w:r w:rsidRPr="009B6008">
        <w:rPr>
          <w:rFonts w:ascii="Open Sans Light" w:hAnsi="Open Sans Light" w:cs="Open Sans Light"/>
        </w:rPr>
        <w:t>wykonywanych „siłami własnymi” pod następującymi warunkami:</w:t>
      </w:r>
    </w:p>
    <w:p w14:paraId="02DBDD61" w14:textId="77777777" w:rsidR="0038775B" w:rsidRPr="009B6008" w:rsidRDefault="0038775B" w:rsidP="00A61B8F">
      <w:pPr>
        <w:pStyle w:val="Standard"/>
        <w:numPr>
          <w:ilvl w:val="0"/>
          <w:numId w:val="74"/>
        </w:numPr>
        <w:spacing w:before="120" w:after="120" w:line="276" w:lineRule="auto"/>
        <w:rPr>
          <w:rFonts w:ascii="Open Sans Light" w:hAnsi="Open Sans Light" w:cs="Open Sans Light"/>
        </w:rPr>
      </w:pPr>
      <w:r w:rsidRPr="009B6008">
        <w:rPr>
          <w:rFonts w:ascii="Open Sans Light" w:hAnsi="Open Sans Light" w:cs="Open Sans Light"/>
        </w:rPr>
        <w:t>Pod pojęciem realizacji przedsięwzięcia „siłami własnymi” należy rozumieć samodzielną realizację przedsięwzięcia stanowiącego przedmiot projektu:</w:t>
      </w:r>
    </w:p>
    <w:p w14:paraId="47C871DC" w14:textId="0D960EA0" w:rsidR="0038775B" w:rsidRPr="009B6008" w:rsidRDefault="0038775B" w:rsidP="00A61B8F">
      <w:pPr>
        <w:pStyle w:val="Standard"/>
        <w:spacing w:before="120" w:after="120" w:line="276" w:lineRule="auto"/>
        <w:ind w:left="567"/>
        <w:rPr>
          <w:rFonts w:ascii="Open Sans Light" w:hAnsi="Open Sans Light" w:cs="Open Sans Light"/>
        </w:rPr>
      </w:pPr>
      <w:r w:rsidRPr="009B6008">
        <w:rPr>
          <w:rFonts w:ascii="Open Sans Light" w:hAnsi="Open Sans Light" w:cs="Open Sans Light"/>
        </w:rPr>
        <w:t>- w całości, tj. zaangażowanie tzw. robocizny własnej i własnego sprzętu (odpisy amortyzacyjne za okres, w którym był wykorzystywany do realizacji projektu) oraz zakupy materiałów/urządzeń</w:t>
      </w:r>
      <w:r w:rsidR="00E71053" w:rsidRPr="009B6008">
        <w:rPr>
          <w:rFonts w:ascii="Open Sans Light" w:hAnsi="Open Sans Light" w:cs="Open Sans Light"/>
        </w:rPr>
        <w:t>:</w:t>
      </w:r>
    </w:p>
    <w:p w14:paraId="6FC4D16C" w14:textId="1924C06D" w:rsidR="0038775B" w:rsidRPr="009B6008" w:rsidRDefault="0038775B" w:rsidP="00A61B8F">
      <w:pPr>
        <w:pStyle w:val="Standard"/>
        <w:spacing w:before="120" w:after="120" w:line="276" w:lineRule="auto"/>
        <w:ind w:left="567"/>
        <w:rPr>
          <w:rFonts w:ascii="Open Sans Light" w:hAnsi="Open Sans Light" w:cs="Open Sans Light"/>
        </w:rPr>
      </w:pPr>
      <w:r w:rsidRPr="009B6008">
        <w:rPr>
          <w:rFonts w:ascii="Open Sans Light" w:hAnsi="Open Sans Light" w:cs="Open Sans Light"/>
        </w:rPr>
        <w:t xml:space="preserve">- w części, </w:t>
      </w:r>
      <w:r w:rsidR="00D977E3" w:rsidRPr="009B6008">
        <w:rPr>
          <w:rFonts w:ascii="Open Sans Light" w:hAnsi="Open Sans Light" w:cs="Open Sans Light"/>
        </w:rPr>
        <w:t xml:space="preserve">tj. </w:t>
      </w:r>
      <w:r w:rsidRPr="009B6008">
        <w:rPr>
          <w:rFonts w:ascii="Open Sans Light" w:hAnsi="Open Sans Light" w:cs="Open Sans Light"/>
        </w:rPr>
        <w:t>tzw. realizacja mieszana</w:t>
      </w:r>
      <w:r w:rsidR="00D977E3" w:rsidRPr="009B6008">
        <w:rPr>
          <w:rFonts w:ascii="Open Sans Light" w:hAnsi="Open Sans Light" w:cs="Open Sans Light"/>
        </w:rPr>
        <w:t>,</w:t>
      </w:r>
      <w:r w:rsidRPr="009B6008">
        <w:rPr>
          <w:rFonts w:ascii="Open Sans Light" w:hAnsi="Open Sans Light" w:cs="Open Sans Light"/>
        </w:rPr>
        <w:t xml:space="preserve"> polegająca na możliwości zaangażowania, obok robocizny własnej lub własnego sprzętu (odpisy amortyzacyjne) oraz zakupów materiałów/urządzeń, także robocizny zewnętrznej lub usług zamawianych na zewnątrz (np. najem sprzętu);</w:t>
      </w:r>
    </w:p>
    <w:p w14:paraId="0D7ED264" w14:textId="6D082203" w:rsidR="00FE305B" w:rsidRPr="009B6008" w:rsidRDefault="000977BC" w:rsidP="00A61B8F">
      <w:pPr>
        <w:pStyle w:val="Standard"/>
        <w:numPr>
          <w:ilvl w:val="0"/>
          <w:numId w:val="74"/>
        </w:numPr>
        <w:spacing w:before="120" w:after="120" w:line="276" w:lineRule="auto"/>
        <w:ind w:left="567" w:hanging="283"/>
        <w:rPr>
          <w:rFonts w:ascii="Open Sans Light" w:hAnsi="Open Sans Light" w:cs="Open Sans Light"/>
        </w:rPr>
      </w:pPr>
      <w:r w:rsidRPr="009B6008">
        <w:rPr>
          <w:rFonts w:ascii="Open Sans Light" w:hAnsi="Open Sans Light" w:cs="Open Sans Light"/>
        </w:rPr>
        <w:t>W</w:t>
      </w:r>
      <w:r w:rsidR="00FE305B" w:rsidRPr="009B6008">
        <w:rPr>
          <w:rFonts w:ascii="Open Sans Light" w:hAnsi="Open Sans Light" w:cs="Open Sans Light"/>
        </w:rPr>
        <w:t xml:space="preserve"> przypadku, gdy beneficjent samodzielnie wykonuje całość lub część prac związanych z przygotowaniem placu budowy lub robotami budowlanymi, związane z tymi pracami wydatki muszą być przypisane poprzez przejrzysty i oddzielny system rozliczania projektu oparty na dokumentach księgowych lub dokumentach o równoważnej wartości dowodowej;</w:t>
      </w:r>
    </w:p>
    <w:p w14:paraId="5559F229" w14:textId="5F4CF6BB" w:rsidR="00FE305B" w:rsidRPr="009B6008" w:rsidRDefault="000977BC" w:rsidP="00A61B8F">
      <w:pPr>
        <w:pStyle w:val="Standard"/>
        <w:numPr>
          <w:ilvl w:val="0"/>
          <w:numId w:val="74"/>
        </w:numPr>
        <w:spacing w:before="120" w:after="120" w:line="276" w:lineRule="auto"/>
        <w:ind w:left="567" w:hanging="283"/>
        <w:rPr>
          <w:rFonts w:ascii="Open Sans Light" w:hAnsi="Open Sans Light" w:cs="Open Sans Light"/>
        </w:rPr>
      </w:pPr>
      <w:r w:rsidRPr="009B6008">
        <w:rPr>
          <w:rFonts w:ascii="Open Sans Light" w:hAnsi="Open Sans Light" w:cs="Open Sans Light"/>
        </w:rPr>
        <w:lastRenderedPageBreak/>
        <w:t>K</w:t>
      </w:r>
      <w:r w:rsidR="00FE305B" w:rsidRPr="009B6008">
        <w:rPr>
          <w:rFonts w:ascii="Open Sans Light" w:hAnsi="Open Sans Light" w:cs="Open Sans Light"/>
        </w:rPr>
        <w:t>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p>
    <w:p w14:paraId="76ABF2B2" w14:textId="0F18D5E1" w:rsidR="00FE305B" w:rsidRPr="009B6008" w:rsidRDefault="000977BC" w:rsidP="00A61B8F">
      <w:pPr>
        <w:pStyle w:val="Standard"/>
        <w:numPr>
          <w:ilvl w:val="0"/>
          <w:numId w:val="74"/>
        </w:numPr>
        <w:spacing w:before="120" w:after="120" w:line="276" w:lineRule="auto"/>
        <w:ind w:left="567" w:hanging="283"/>
        <w:rPr>
          <w:rFonts w:ascii="Open Sans Light" w:hAnsi="Open Sans Light" w:cs="Open Sans Light"/>
        </w:rPr>
      </w:pPr>
      <w:r w:rsidRPr="009B6008">
        <w:rPr>
          <w:rFonts w:ascii="Open Sans Light" w:hAnsi="Open Sans Light" w:cs="Open Sans Light"/>
        </w:rPr>
        <w:t>W</w:t>
      </w:r>
      <w:r w:rsidR="00FE305B" w:rsidRPr="009B6008">
        <w:rPr>
          <w:rFonts w:ascii="Open Sans Light" w:hAnsi="Open Sans Light" w:cs="Open Sans Light"/>
        </w:rPr>
        <w:t xml:space="preserve"> przypadku, gdy w prace są zaangażowani pracownicy zatrudnieni w instytucji beneficjenta, stosuje się odpowiednio postanowienia podrozdziału 3.8 Wytycznych dotyczących kwalifikowalności wydatków na lata 2021-2027 – Personel</w:t>
      </w:r>
      <w:r w:rsidR="00D34E1A" w:rsidRPr="009B6008">
        <w:rPr>
          <w:rFonts w:ascii="Open Sans Light" w:hAnsi="Open Sans Light" w:cs="Open Sans Light"/>
        </w:rPr>
        <w:t xml:space="preserve"> </w:t>
      </w:r>
      <w:r w:rsidRPr="009B6008">
        <w:rPr>
          <w:rFonts w:ascii="Open Sans Light" w:hAnsi="Open Sans Light" w:cs="Open Sans Light"/>
        </w:rPr>
        <w:t xml:space="preserve">projektu </w:t>
      </w:r>
      <w:r w:rsidR="00D34E1A" w:rsidRPr="009B6008">
        <w:rPr>
          <w:rFonts w:ascii="Open Sans Light" w:hAnsi="Open Sans Light" w:cs="Open Sans Light"/>
        </w:rPr>
        <w:t xml:space="preserve">oraz zasady opisane w części Personel Projektu </w:t>
      </w:r>
      <w:r w:rsidRPr="009B6008">
        <w:rPr>
          <w:rFonts w:ascii="Open Sans Light" w:hAnsi="Open Sans Light" w:cs="Open Sans Light"/>
        </w:rPr>
        <w:t>w tym</w:t>
      </w:r>
      <w:r w:rsidR="00D34E1A" w:rsidRPr="009B6008">
        <w:rPr>
          <w:rFonts w:ascii="Open Sans Light" w:hAnsi="Open Sans Light" w:cs="Open Sans Light"/>
        </w:rPr>
        <w:t xml:space="preserve"> dokumen</w:t>
      </w:r>
      <w:r w:rsidRPr="009B6008">
        <w:rPr>
          <w:rFonts w:ascii="Open Sans Light" w:hAnsi="Open Sans Light" w:cs="Open Sans Light"/>
        </w:rPr>
        <w:t>cie</w:t>
      </w:r>
      <w:r w:rsidR="007662EE" w:rsidRPr="009B6008">
        <w:rPr>
          <w:rFonts w:ascii="Open Sans Light" w:hAnsi="Open Sans Light" w:cs="Open Sans Light"/>
        </w:rPr>
        <w:t>;</w:t>
      </w:r>
    </w:p>
    <w:p w14:paraId="3A86A6E0" w14:textId="35BDF108" w:rsidR="00324F08" w:rsidRPr="009B6008" w:rsidRDefault="00324F08" w:rsidP="00A61B8F">
      <w:pPr>
        <w:pStyle w:val="Standard"/>
        <w:numPr>
          <w:ilvl w:val="0"/>
          <w:numId w:val="74"/>
        </w:numPr>
        <w:spacing w:before="120" w:after="120" w:line="276" w:lineRule="auto"/>
        <w:rPr>
          <w:rFonts w:ascii="Open Sans Light" w:hAnsi="Open Sans Light" w:cs="Open Sans Light"/>
        </w:rPr>
      </w:pPr>
      <w:r w:rsidRPr="009B6008">
        <w:rPr>
          <w:rFonts w:ascii="Open Sans Light" w:hAnsi="Open Sans Light" w:cs="Open Sans Light"/>
        </w:rPr>
        <w:t xml:space="preserve">Wydatki poniesione na zakup materiałów/urządzeń bezpośrednio przez beneficjenta </w:t>
      </w:r>
      <w:r w:rsidR="00FB365A" w:rsidRPr="009B6008">
        <w:rPr>
          <w:rFonts w:ascii="Open Sans Light" w:hAnsi="Open Sans Light" w:cs="Open Sans Light"/>
        </w:rPr>
        <w:t>kwalifikują się do dofinansowania na podstawie faktur opłaconych przez beneficjenta oraz kosztorysu powykonawczego, na podstawie którego zostanie zweryfikowana ilość zakupionych materiałów niezbędnych do realizacji projektu</w:t>
      </w:r>
      <w:r w:rsidR="001A25AC" w:rsidRPr="009B6008">
        <w:rPr>
          <w:rFonts w:ascii="Open Sans Light" w:hAnsi="Open Sans Light" w:cs="Open Sans Light"/>
        </w:rPr>
        <w:t xml:space="preserve"> oraz zgodnie z innymi zasadami wynikającymi z Wytycznych (m.in. zasady dotyczące zamówień publicznych)</w:t>
      </w:r>
      <w:r w:rsidR="005C7D85" w:rsidRPr="009B6008">
        <w:rPr>
          <w:rFonts w:ascii="Open Sans Light" w:hAnsi="Open Sans Light" w:cs="Open Sans Light"/>
        </w:rPr>
        <w:t>;</w:t>
      </w:r>
    </w:p>
    <w:p w14:paraId="08E7F6BA" w14:textId="1BA34188" w:rsidR="00FB365A" w:rsidRPr="009B6008" w:rsidRDefault="00FB365A" w:rsidP="00A61B8F">
      <w:pPr>
        <w:pStyle w:val="Standard"/>
        <w:numPr>
          <w:ilvl w:val="0"/>
          <w:numId w:val="74"/>
        </w:numPr>
        <w:spacing w:before="120" w:after="120" w:line="276" w:lineRule="auto"/>
        <w:rPr>
          <w:rFonts w:ascii="Open Sans Light" w:hAnsi="Open Sans Light" w:cs="Open Sans Light"/>
        </w:rPr>
      </w:pPr>
      <w:r w:rsidRPr="009B6008">
        <w:rPr>
          <w:rFonts w:ascii="Open Sans Light" w:hAnsi="Open Sans Light" w:cs="Open Sans Light"/>
        </w:rPr>
        <w:t>W przypadku dzierżawy lub najmu sprzętu wykorzystywanego przy realizacji projektu</w:t>
      </w:r>
      <w:r w:rsidR="00D977E3" w:rsidRPr="009B6008">
        <w:rPr>
          <w:rFonts w:ascii="Open Sans Light" w:hAnsi="Open Sans Light" w:cs="Open Sans Light"/>
        </w:rPr>
        <w:t>,</w:t>
      </w:r>
      <w:r w:rsidRPr="009B6008">
        <w:rPr>
          <w:rFonts w:ascii="Open Sans Light" w:hAnsi="Open Sans Light" w:cs="Open Sans Light"/>
        </w:rPr>
        <w:t xml:space="preserve"> </w:t>
      </w:r>
      <w:r w:rsidR="00D977E3" w:rsidRPr="009B6008">
        <w:rPr>
          <w:rFonts w:ascii="Open Sans Light" w:hAnsi="Open Sans Light" w:cs="Open Sans Light"/>
        </w:rPr>
        <w:t xml:space="preserve">wydatki mogą być uznane </w:t>
      </w:r>
      <w:r w:rsidRPr="009B6008">
        <w:rPr>
          <w:rFonts w:ascii="Open Sans Light" w:hAnsi="Open Sans Light" w:cs="Open Sans Light"/>
        </w:rPr>
        <w:t xml:space="preserve">za kwalifikowane </w:t>
      </w:r>
      <w:r w:rsidR="001A25AC" w:rsidRPr="009B6008">
        <w:rPr>
          <w:rFonts w:ascii="Open Sans Light" w:hAnsi="Open Sans Light" w:cs="Open Sans Light"/>
        </w:rPr>
        <w:t>o ile</w:t>
      </w:r>
      <w:r w:rsidRPr="009B6008">
        <w:rPr>
          <w:rFonts w:ascii="Open Sans Light" w:hAnsi="Open Sans Light" w:cs="Open Sans Light"/>
        </w:rPr>
        <w:t xml:space="preserve"> czas pracy sprzętu będzie uzasadniony i potwierdzony w kosztorysie powykonawczym</w:t>
      </w:r>
      <w:r w:rsidR="001A25AC" w:rsidRPr="009B6008">
        <w:rPr>
          <w:rFonts w:ascii="Open Sans Light" w:hAnsi="Open Sans Light" w:cs="Open Sans Light"/>
        </w:rPr>
        <w:t xml:space="preserve"> oraz wydatki te zostały poniesione zgodnie z pozostałymi warunkami wynikającymi z Wytycznych</w:t>
      </w:r>
      <w:r w:rsidR="005C7D85" w:rsidRPr="009B6008">
        <w:rPr>
          <w:rFonts w:ascii="Open Sans Light" w:hAnsi="Open Sans Light" w:cs="Open Sans Light"/>
        </w:rPr>
        <w:t>;</w:t>
      </w:r>
    </w:p>
    <w:p w14:paraId="0B9D6EBB" w14:textId="50BBBA76" w:rsidR="00753A21" w:rsidRPr="009B6008" w:rsidRDefault="000549DD" w:rsidP="00A61B8F">
      <w:pPr>
        <w:pStyle w:val="Standard"/>
        <w:numPr>
          <w:ilvl w:val="0"/>
          <w:numId w:val="74"/>
        </w:numPr>
        <w:spacing w:before="120" w:after="120" w:line="276" w:lineRule="auto"/>
        <w:rPr>
          <w:rFonts w:ascii="Open Sans Light" w:hAnsi="Open Sans Light" w:cs="Open Sans Light"/>
        </w:rPr>
      </w:pPr>
      <w:r w:rsidRPr="009B6008">
        <w:rPr>
          <w:rFonts w:ascii="Open Sans Light" w:hAnsi="Open Sans Light" w:cs="Open Sans Light"/>
        </w:rPr>
        <w:t>W celu rozliczenia wydatków ponoszonych w związku z realizacją przedsięwzięć „siłami własnymi”</w:t>
      </w:r>
      <w:r w:rsidR="00D977E3" w:rsidRPr="009B6008">
        <w:rPr>
          <w:rFonts w:ascii="Open Sans Light" w:hAnsi="Open Sans Light" w:cs="Open Sans Light"/>
        </w:rPr>
        <w:t>,</w:t>
      </w:r>
      <w:r w:rsidRPr="009B6008">
        <w:rPr>
          <w:rFonts w:ascii="Open Sans Light" w:hAnsi="Open Sans Light" w:cs="Open Sans Light"/>
        </w:rPr>
        <w:t xml:space="preserve"> beneficjent powinien przedstawić kosztorys powykonawczy poniesionych kosztów. Kosztorys powinien zawierać obmiar wykonanych robót z</w:t>
      </w:r>
      <w:r w:rsidR="00E71053" w:rsidRPr="009B6008">
        <w:rPr>
          <w:rFonts w:ascii="Open Sans Light" w:hAnsi="Open Sans Light" w:cs="Open Sans Light"/>
        </w:rPr>
        <w:t> </w:t>
      </w:r>
      <w:r w:rsidR="0038775B" w:rsidRPr="009B6008">
        <w:rPr>
          <w:rFonts w:ascii="Open Sans Light" w:hAnsi="Open Sans Light" w:cs="Open Sans Light"/>
        </w:rPr>
        <w:t xml:space="preserve">podziałem </w:t>
      </w:r>
      <w:r w:rsidR="00070B27" w:rsidRPr="009B6008">
        <w:rPr>
          <w:rFonts w:ascii="Open Sans Light" w:hAnsi="Open Sans Light" w:cs="Open Sans Light"/>
        </w:rPr>
        <w:t xml:space="preserve">kosztów </w:t>
      </w:r>
      <w:r w:rsidR="0038775B" w:rsidRPr="009B6008">
        <w:rPr>
          <w:rFonts w:ascii="Open Sans Light" w:hAnsi="Open Sans Light" w:cs="Open Sans Light"/>
        </w:rPr>
        <w:t>na robociznę, materiały i sprzęt</w:t>
      </w:r>
      <w:r w:rsidR="00367467" w:rsidRPr="009B6008">
        <w:rPr>
          <w:rFonts w:ascii="Open Sans Light" w:hAnsi="Open Sans Light" w:cs="Open Sans Light"/>
        </w:rPr>
        <w:t>;</w:t>
      </w:r>
      <w:r w:rsidR="00D977E3" w:rsidRPr="009B6008">
        <w:rPr>
          <w:rFonts w:ascii="Open Sans Light" w:hAnsi="Open Sans Light" w:cs="Open Sans Light"/>
        </w:rPr>
        <w:t xml:space="preserve"> </w:t>
      </w:r>
    </w:p>
    <w:p w14:paraId="5A18C658" w14:textId="72192358" w:rsidR="0038775B" w:rsidRPr="009B6008" w:rsidRDefault="0038775B" w:rsidP="00A61B8F">
      <w:pPr>
        <w:pStyle w:val="Standard"/>
        <w:numPr>
          <w:ilvl w:val="0"/>
          <w:numId w:val="74"/>
        </w:numPr>
        <w:spacing w:before="120" w:after="120" w:line="276" w:lineRule="auto"/>
        <w:rPr>
          <w:rFonts w:ascii="Open Sans Light" w:hAnsi="Open Sans Light" w:cs="Open Sans Light"/>
        </w:rPr>
      </w:pPr>
      <w:r w:rsidRPr="009B6008">
        <w:rPr>
          <w:rFonts w:ascii="Open Sans Light" w:hAnsi="Open Sans Light" w:cs="Open Sans Light"/>
        </w:rPr>
        <w:t xml:space="preserve">Kosztorys powinien być podpisany przez </w:t>
      </w:r>
      <w:r w:rsidR="00070B27" w:rsidRPr="009B6008">
        <w:rPr>
          <w:rFonts w:ascii="Open Sans Light" w:hAnsi="Open Sans Light" w:cs="Open Sans Light"/>
        </w:rPr>
        <w:t xml:space="preserve">osobę odpowiedzialną za realizację robót z odpowiednimi uprawnieniami budowlanymi oraz </w:t>
      </w:r>
      <w:r w:rsidRPr="009B6008">
        <w:rPr>
          <w:rFonts w:ascii="Open Sans Light" w:hAnsi="Open Sans Light" w:cs="Open Sans Light"/>
        </w:rPr>
        <w:t>inspektora nadzoru (gdy obowiązek taki został nałożony przez przepisy prawa)</w:t>
      </w:r>
      <w:r w:rsidR="00070B27" w:rsidRPr="009B6008">
        <w:rPr>
          <w:rFonts w:ascii="Open Sans Light" w:hAnsi="Open Sans Light" w:cs="Open Sans Light"/>
        </w:rPr>
        <w:t>.</w:t>
      </w:r>
    </w:p>
    <w:p w14:paraId="42AC533D" w14:textId="0FC903E4" w:rsidR="00DF3C82" w:rsidRPr="009B6008" w:rsidRDefault="0028292E" w:rsidP="00A61B8F">
      <w:pPr>
        <w:pStyle w:val="Nagwek1"/>
        <w:spacing w:line="276" w:lineRule="auto"/>
      </w:pPr>
      <w:r w:rsidRPr="009B6008">
        <w:t>Środki trwałe /Dostawy</w:t>
      </w:r>
    </w:p>
    <w:p w14:paraId="680222C0" w14:textId="77777777" w:rsidR="00DF3C82" w:rsidRPr="009B6008" w:rsidRDefault="0028292E" w:rsidP="00A61B8F">
      <w:pPr>
        <w:pStyle w:val="Standard"/>
        <w:numPr>
          <w:ilvl w:val="0"/>
          <w:numId w:val="4"/>
        </w:numPr>
        <w:spacing w:before="120" w:after="120" w:line="276" w:lineRule="auto"/>
        <w:ind w:left="284" w:hanging="284"/>
        <w:rPr>
          <w:rFonts w:ascii="Open Sans Light" w:hAnsi="Open Sans Light" w:cs="Open Sans Light"/>
        </w:rPr>
      </w:pPr>
      <w:r w:rsidRPr="009B6008">
        <w:rPr>
          <w:rFonts w:ascii="Open Sans Light" w:hAnsi="Open Sans Light" w:cs="Open Sans Light"/>
        </w:rPr>
        <w:t xml:space="preserve">Środki </w:t>
      </w:r>
      <w:r w:rsidRPr="009B6008">
        <w:rPr>
          <w:rFonts w:ascii="Open Sans Light" w:hAnsi="Open Sans Light" w:cs="Open Sans Light"/>
          <w:bCs/>
        </w:rPr>
        <w:t>trwałe</w:t>
      </w:r>
      <w:r w:rsidRPr="009B6008">
        <w:rPr>
          <w:rFonts w:ascii="Open Sans Light" w:hAnsi="Open Sans Light" w:cs="Open Sans Light"/>
        </w:rPr>
        <w:t>, ze względu na sposób ich wykorzystania w ramach i na rzecz projektu, dzielą się na:</w:t>
      </w:r>
    </w:p>
    <w:p w14:paraId="34FC068D" w14:textId="4073D46D" w:rsidR="00DF3C82" w:rsidRPr="009B6008" w:rsidRDefault="00E71053" w:rsidP="00A61B8F">
      <w:pPr>
        <w:pStyle w:val="Text1"/>
        <w:numPr>
          <w:ilvl w:val="0"/>
          <w:numId w:val="45"/>
        </w:numPr>
        <w:spacing w:line="276" w:lineRule="auto"/>
        <w:ind w:left="567" w:hanging="283"/>
        <w:jc w:val="left"/>
        <w:rPr>
          <w:rFonts w:ascii="Open Sans Light" w:hAnsi="Open Sans Light" w:cs="Open Sans Light"/>
          <w:lang w:val="pl-PL"/>
        </w:rPr>
      </w:pPr>
      <w:r w:rsidRPr="009B6008">
        <w:rPr>
          <w:rFonts w:ascii="Open Sans Light" w:hAnsi="Open Sans Light" w:cs="Open Sans Light"/>
          <w:sz w:val="22"/>
          <w:lang w:val="pl-PL"/>
        </w:rPr>
        <w:t>Ś</w:t>
      </w:r>
      <w:r w:rsidR="0028292E" w:rsidRPr="009B6008">
        <w:rPr>
          <w:rFonts w:ascii="Open Sans Light" w:hAnsi="Open Sans Light" w:cs="Open Sans Light"/>
          <w:sz w:val="22"/>
          <w:lang w:val="pl-PL"/>
        </w:rPr>
        <w:t>rodki trwałe bezpośrednio powiązane z przedmiotem projektu (np. zakup urządzeń na oczyszczalni ścieków, zakup aparatury pomiarowej i sprzętu do monitoringu sieci w ramach budowania systemów zarządzania sieciami wodociągowo-kanalizacyjnymi)</w:t>
      </w:r>
      <w:r w:rsidRPr="009B6008">
        <w:rPr>
          <w:rFonts w:ascii="Open Sans Light" w:hAnsi="Open Sans Light" w:cs="Open Sans Light"/>
          <w:sz w:val="22"/>
          <w:lang w:val="pl-PL"/>
        </w:rPr>
        <w:t>;</w:t>
      </w:r>
    </w:p>
    <w:p w14:paraId="43943127" w14:textId="36A9214E" w:rsidR="00DF3C82" w:rsidRPr="009B6008" w:rsidRDefault="00E71053" w:rsidP="00A61B8F">
      <w:pPr>
        <w:pStyle w:val="Text1"/>
        <w:numPr>
          <w:ilvl w:val="0"/>
          <w:numId w:val="45"/>
        </w:numPr>
        <w:spacing w:line="276" w:lineRule="auto"/>
        <w:ind w:left="567" w:hanging="283"/>
        <w:jc w:val="left"/>
        <w:rPr>
          <w:rFonts w:ascii="Open Sans Light" w:hAnsi="Open Sans Light" w:cs="Open Sans Light"/>
          <w:lang w:val="pl-PL"/>
        </w:rPr>
      </w:pPr>
      <w:r w:rsidRPr="009B6008">
        <w:rPr>
          <w:rFonts w:ascii="Open Sans Light" w:hAnsi="Open Sans Light" w:cs="Open Sans Light"/>
          <w:sz w:val="22"/>
          <w:lang w:val="pl-PL"/>
        </w:rPr>
        <w:t>Ś</w:t>
      </w:r>
      <w:r w:rsidR="0028292E" w:rsidRPr="009B6008">
        <w:rPr>
          <w:rFonts w:ascii="Open Sans Light" w:hAnsi="Open Sans Light" w:cs="Open Sans Light"/>
          <w:sz w:val="22"/>
          <w:lang w:val="pl-PL"/>
        </w:rPr>
        <w:t xml:space="preserve">rodki trwałe wykorzystywane w celu wspomagania procesu wdrażania projektu </w:t>
      </w:r>
      <w:r w:rsidR="0028292E" w:rsidRPr="009B6008">
        <w:rPr>
          <w:rFonts w:ascii="Open Sans Light" w:hAnsi="Open Sans Light" w:cs="Open Sans Light"/>
          <w:sz w:val="22"/>
          <w:lang w:val="pl-PL"/>
        </w:rPr>
        <w:br/>
        <w:t>(np. wyposażenie biura beneficjenta).</w:t>
      </w:r>
    </w:p>
    <w:p w14:paraId="272E8E85" w14:textId="77777777" w:rsidR="00DF3C82" w:rsidRPr="009B6008" w:rsidRDefault="0028292E" w:rsidP="00A61B8F">
      <w:pPr>
        <w:pStyle w:val="Text1"/>
        <w:spacing w:line="276" w:lineRule="auto"/>
        <w:ind w:left="284"/>
        <w:jc w:val="left"/>
        <w:rPr>
          <w:rFonts w:ascii="Open Sans Light" w:hAnsi="Open Sans Light" w:cs="Open Sans Light"/>
          <w:sz w:val="22"/>
          <w:lang w:val="pl-PL"/>
        </w:rPr>
      </w:pPr>
      <w:r w:rsidRPr="009B6008">
        <w:rPr>
          <w:rFonts w:ascii="Open Sans Light" w:hAnsi="Open Sans Light" w:cs="Open Sans Light"/>
          <w:sz w:val="22"/>
          <w:lang w:val="pl-PL"/>
        </w:rPr>
        <w:t>Pierwszy rodzaj środków dotyczy kosztów bezpośrednich projektu – zasady kwalifikowania zostały opisane poniżej, drugi rodzaj środków należy do kosztów pośrednich i będzie rozliczany w ramach ryczałtu przewidzianego na koszty pośrednie.</w:t>
      </w:r>
    </w:p>
    <w:p w14:paraId="401E46A1" w14:textId="77777777" w:rsidR="00DF3C82" w:rsidRPr="00374B24" w:rsidRDefault="0028292E" w:rsidP="00A61B8F">
      <w:pPr>
        <w:pStyle w:val="Akapitzlist"/>
        <w:numPr>
          <w:ilvl w:val="0"/>
          <w:numId w:val="4"/>
        </w:numPr>
        <w:spacing w:before="120" w:after="120" w:line="276" w:lineRule="auto"/>
        <w:ind w:left="284" w:hanging="284"/>
        <w:rPr>
          <w:rFonts w:ascii="Open Sans Light" w:hAnsi="Open Sans Light" w:cs="Open Sans Light"/>
        </w:rPr>
      </w:pPr>
      <w:r w:rsidRPr="00374B24">
        <w:rPr>
          <w:rFonts w:ascii="Open Sans Light" w:hAnsi="Open Sans Light" w:cs="Open Sans Light"/>
        </w:rPr>
        <w:lastRenderedPageBreak/>
        <w:t>Środki trwałe mogą być zainstalowane na stałe lub ruchome, z tym, że ruchome środki trwałe mogą być kwalifikowane w ograniczonym zakresie opisanym w Regulaminie wyboru projektów.</w:t>
      </w:r>
    </w:p>
    <w:p w14:paraId="64885ECF" w14:textId="77777777" w:rsidR="00DF3C82" w:rsidRPr="009B6008" w:rsidRDefault="0028292E" w:rsidP="00A61B8F">
      <w:pPr>
        <w:pStyle w:val="Akapitzlist"/>
        <w:numPr>
          <w:ilvl w:val="0"/>
          <w:numId w:val="4"/>
        </w:numPr>
        <w:spacing w:before="120" w:after="120" w:line="276" w:lineRule="auto"/>
        <w:ind w:left="284" w:hanging="284"/>
        <w:rPr>
          <w:rFonts w:ascii="Open Sans Light" w:hAnsi="Open Sans Light" w:cs="Open Sans Light"/>
        </w:rPr>
      </w:pPr>
      <w:r w:rsidRPr="009B6008">
        <w:rPr>
          <w:rFonts w:ascii="Open Sans Light" w:hAnsi="Open Sans Light" w:cs="Open Sans Light"/>
          <w:bCs/>
        </w:rPr>
        <w:t>Wydatki</w:t>
      </w:r>
      <w:r w:rsidRPr="009B6008">
        <w:rPr>
          <w:rFonts w:ascii="Open Sans Light" w:hAnsi="Open Sans Light" w:cs="Open Sans Light"/>
        </w:rPr>
        <w:t xml:space="preserve"> poniesione na zakup środków trwałych, a także koszty ich dostawy, montażu i uruchomienia, mogą być kwalifikowalne w całości lub części swojej wartości zgodnie ze wskazaniem beneficjenta opartym o faktyczne wykorzystanie środka trwałego na potrzeby projektu.</w:t>
      </w:r>
    </w:p>
    <w:p w14:paraId="5EAA209C" w14:textId="77777777" w:rsidR="00DF3C82" w:rsidRPr="009B6008" w:rsidRDefault="0028292E" w:rsidP="00A61B8F">
      <w:pPr>
        <w:pStyle w:val="Standard"/>
        <w:numPr>
          <w:ilvl w:val="0"/>
          <w:numId w:val="4"/>
        </w:numPr>
        <w:spacing w:before="120" w:after="120" w:line="276" w:lineRule="auto"/>
        <w:ind w:left="284" w:hanging="284"/>
        <w:rPr>
          <w:rFonts w:ascii="Open Sans Light" w:hAnsi="Open Sans Light" w:cs="Open Sans Light"/>
        </w:rPr>
      </w:pPr>
      <w:r w:rsidRPr="009B6008">
        <w:rPr>
          <w:rFonts w:ascii="Open Sans Light" w:hAnsi="Open Sans Light" w:cs="Open Sans Light"/>
        </w:rPr>
        <w:t xml:space="preserve">Pozyskanie środków trwałych w formie </w:t>
      </w:r>
      <w:r w:rsidRPr="009B6008">
        <w:rPr>
          <w:rFonts w:ascii="Open Sans Light" w:hAnsi="Open Sans Light" w:cs="Open Sans Light"/>
          <w:u w:val="single"/>
        </w:rPr>
        <w:t>amortyzacji</w:t>
      </w:r>
      <w:r w:rsidRPr="009B6008">
        <w:rPr>
          <w:rFonts w:ascii="Open Sans Light" w:hAnsi="Open Sans Light" w:cs="Open Sans Light"/>
        </w:rPr>
        <w:t xml:space="preserve">, </w:t>
      </w:r>
      <w:r w:rsidRPr="009B6008">
        <w:rPr>
          <w:rFonts w:ascii="Open Sans Light" w:hAnsi="Open Sans Light" w:cs="Open Sans Light"/>
          <w:u w:val="single"/>
        </w:rPr>
        <w:t>leasingu</w:t>
      </w:r>
      <w:r w:rsidRPr="009B6008">
        <w:rPr>
          <w:rFonts w:ascii="Open Sans Light" w:hAnsi="Open Sans Light" w:cs="Open Sans Light"/>
        </w:rPr>
        <w:t xml:space="preserve"> lub w inny sposób </w:t>
      </w:r>
      <w:r w:rsidRPr="009B6008">
        <w:rPr>
          <w:rFonts w:ascii="Open Sans Light" w:hAnsi="Open Sans Light" w:cs="Open Sans Light"/>
          <w:bCs/>
          <w:u w:val="single"/>
        </w:rPr>
        <w:t xml:space="preserve">wymaga </w:t>
      </w:r>
      <w:r w:rsidRPr="009B6008">
        <w:rPr>
          <w:rFonts w:ascii="Open Sans Light" w:hAnsi="Open Sans Light" w:cs="Open Sans Light"/>
          <w:b/>
        </w:rPr>
        <w:t>uzasadnienia konieczności pozyskania tych środków we wniosku o dofinansowanie.</w:t>
      </w:r>
    </w:p>
    <w:p w14:paraId="3FB1F2B7" w14:textId="77777777" w:rsidR="00DF3C82" w:rsidRPr="009B6008" w:rsidRDefault="0028292E" w:rsidP="00A61B8F">
      <w:pPr>
        <w:pStyle w:val="Nagwek1"/>
        <w:spacing w:line="276" w:lineRule="auto"/>
      </w:pPr>
      <w:r w:rsidRPr="009B6008">
        <w:t>Usługi zewnętrzne</w:t>
      </w:r>
    </w:p>
    <w:p w14:paraId="28B91B7E" w14:textId="77777777" w:rsidR="00DF3C82" w:rsidRPr="009B6008" w:rsidRDefault="0028292E" w:rsidP="00A61B8F">
      <w:pPr>
        <w:pStyle w:val="Akapitzlist"/>
        <w:numPr>
          <w:ilvl w:val="0"/>
          <w:numId w:val="46"/>
        </w:numPr>
        <w:spacing w:before="120" w:after="120" w:line="276" w:lineRule="auto"/>
        <w:ind w:left="284" w:hanging="284"/>
        <w:rPr>
          <w:rFonts w:ascii="Open Sans Light" w:hAnsi="Open Sans Light" w:cs="Open Sans Light"/>
        </w:rPr>
      </w:pPr>
      <w:r w:rsidRPr="009B6008">
        <w:rPr>
          <w:rFonts w:ascii="Open Sans Light" w:hAnsi="Open Sans Light" w:cs="Open Sans Light"/>
        </w:rPr>
        <w:t>Przygotowanie dokumentacji projektowej:</w:t>
      </w:r>
    </w:p>
    <w:p w14:paraId="60606F69" w14:textId="77777777" w:rsidR="00DF3C82" w:rsidRPr="009B6008" w:rsidRDefault="0028292E" w:rsidP="00A61B8F">
      <w:pPr>
        <w:pStyle w:val="Akapitzlist"/>
        <w:spacing w:before="120" w:after="120" w:line="276" w:lineRule="auto"/>
        <w:ind w:left="284"/>
        <w:rPr>
          <w:rFonts w:ascii="Open Sans Light" w:hAnsi="Open Sans Light" w:cs="Open Sans Light"/>
        </w:rPr>
      </w:pPr>
      <w:r w:rsidRPr="009B6008">
        <w:rPr>
          <w:rFonts w:ascii="Open Sans Light" w:hAnsi="Open Sans Light" w:cs="Open Sans Light"/>
        </w:rPr>
        <w:t xml:space="preserve">Warunkiem kwalifikacji kosztów opracowania PFU, </w:t>
      </w:r>
      <w:proofErr w:type="gramStart"/>
      <w:r w:rsidRPr="009B6008">
        <w:rPr>
          <w:rFonts w:ascii="Open Sans Light" w:hAnsi="Open Sans Light" w:cs="Open Sans Light"/>
        </w:rPr>
        <w:t>koncepcji  jest</w:t>
      </w:r>
      <w:proofErr w:type="gramEnd"/>
      <w:r w:rsidRPr="009B6008">
        <w:rPr>
          <w:rFonts w:ascii="Open Sans Light" w:hAnsi="Open Sans Light" w:cs="Open Sans Light"/>
        </w:rPr>
        <w:t xml:space="preserve">  ich bezpośrednie wykorzystane w projekcie (np. jako część dokumentacji przetargowej lub podstawa do opracowania projektu budowlanego).</w:t>
      </w:r>
    </w:p>
    <w:p w14:paraId="76906D9E" w14:textId="23111F82" w:rsidR="00743D2F" w:rsidRPr="009B6008" w:rsidRDefault="00743D2F" w:rsidP="00A61B8F">
      <w:pPr>
        <w:spacing w:before="120" w:after="120" w:line="276" w:lineRule="auto"/>
        <w:rPr>
          <w:rFonts w:ascii="Open Sans Light" w:hAnsi="Open Sans Light" w:cs="Open Sans Light"/>
        </w:rPr>
      </w:pPr>
      <w:r w:rsidRPr="009B6008">
        <w:rPr>
          <w:rFonts w:ascii="Open Sans Light" w:hAnsi="Open Sans Light" w:cs="Open Sans Light"/>
        </w:rPr>
        <w:t>2. Przygotowanie dokumentacji przetargowej:</w:t>
      </w:r>
    </w:p>
    <w:p w14:paraId="0BCBB241" w14:textId="116F80A9" w:rsidR="00743D2F" w:rsidRPr="009B6008" w:rsidRDefault="004E685D" w:rsidP="00A61B8F">
      <w:pPr>
        <w:spacing w:before="120" w:after="120" w:line="276" w:lineRule="auto"/>
        <w:ind w:left="284"/>
        <w:rPr>
          <w:rFonts w:ascii="Open Sans Light" w:hAnsi="Open Sans Light" w:cs="Open Sans Light"/>
        </w:rPr>
      </w:pPr>
      <w:r w:rsidRPr="009B6008">
        <w:rPr>
          <w:rFonts w:ascii="Open Sans Light" w:hAnsi="Open Sans Light" w:cs="Open Sans Light"/>
        </w:rPr>
        <w:t>Warunkiem kwalifikacji kosztów opracowania dokumentacji przetargowej w przypadku</w:t>
      </w:r>
      <w:r w:rsidR="00501668" w:rsidRPr="009B6008">
        <w:rPr>
          <w:rFonts w:ascii="Open Sans Light" w:hAnsi="Open Sans Light" w:cs="Open Sans Light"/>
        </w:rPr>
        <w:t>,</w:t>
      </w:r>
      <w:r w:rsidRPr="009B6008">
        <w:rPr>
          <w:rFonts w:ascii="Open Sans Light" w:hAnsi="Open Sans Light" w:cs="Open Sans Light"/>
        </w:rPr>
        <w:t xml:space="preserve"> gdy zamówienie obejmuje również inne zadania</w:t>
      </w:r>
      <w:r w:rsidR="00501668" w:rsidRPr="009B6008">
        <w:rPr>
          <w:rFonts w:ascii="Open Sans Light" w:hAnsi="Open Sans Light" w:cs="Open Sans Light"/>
        </w:rPr>
        <w:t>,</w:t>
      </w:r>
      <w:r w:rsidRPr="009B6008">
        <w:rPr>
          <w:rFonts w:ascii="Open Sans Light" w:hAnsi="Open Sans Light" w:cs="Open Sans Light"/>
        </w:rPr>
        <w:t xml:space="preserve"> </w:t>
      </w:r>
      <w:proofErr w:type="gramStart"/>
      <w:r w:rsidRPr="009B6008">
        <w:rPr>
          <w:rFonts w:ascii="Open Sans Light" w:hAnsi="Open Sans Light" w:cs="Open Sans Light"/>
        </w:rPr>
        <w:t>jest  ich</w:t>
      </w:r>
      <w:proofErr w:type="gramEnd"/>
      <w:r w:rsidRPr="009B6008">
        <w:rPr>
          <w:rFonts w:ascii="Open Sans Light" w:hAnsi="Open Sans Light" w:cs="Open Sans Light"/>
        </w:rPr>
        <w:t xml:space="preserve"> jednoznaczne wydzielenie w</w:t>
      </w:r>
      <w:r w:rsidR="00E71053" w:rsidRPr="009B6008">
        <w:rPr>
          <w:rFonts w:ascii="Open Sans Light" w:hAnsi="Open Sans Light" w:cs="Open Sans Light"/>
        </w:rPr>
        <w:t> </w:t>
      </w:r>
      <w:r w:rsidRPr="009B6008">
        <w:rPr>
          <w:rFonts w:ascii="Open Sans Light" w:hAnsi="Open Sans Light" w:cs="Open Sans Light"/>
        </w:rPr>
        <w:t xml:space="preserve">kontrakcie.  </w:t>
      </w:r>
      <w:r w:rsidR="00743D2F" w:rsidRPr="009B6008">
        <w:rPr>
          <w:rFonts w:ascii="Open Sans Light" w:hAnsi="Open Sans Light" w:cs="Open Sans Light"/>
        </w:rPr>
        <w:t xml:space="preserve">Organizacja i obsługa przetargów oraz wszystkie działania z tym związane stanowią </w:t>
      </w:r>
      <w:r w:rsidR="009B71A3" w:rsidRPr="009B6008">
        <w:rPr>
          <w:rFonts w:ascii="Open Sans Light" w:hAnsi="Open Sans Light" w:cs="Open Sans Light"/>
        </w:rPr>
        <w:t>koszty</w:t>
      </w:r>
      <w:r w:rsidR="00743D2F" w:rsidRPr="009B6008">
        <w:rPr>
          <w:rFonts w:ascii="Open Sans Light" w:hAnsi="Open Sans Light" w:cs="Open Sans Light"/>
        </w:rPr>
        <w:t xml:space="preserve"> </w:t>
      </w:r>
      <w:r w:rsidR="009B71A3" w:rsidRPr="009B6008">
        <w:rPr>
          <w:rFonts w:ascii="Open Sans Light" w:hAnsi="Open Sans Light" w:cs="Open Sans Light"/>
        </w:rPr>
        <w:t>pośrednie</w:t>
      </w:r>
      <w:r w:rsidR="00743D2F" w:rsidRPr="009B6008">
        <w:rPr>
          <w:rFonts w:ascii="Open Sans Light" w:hAnsi="Open Sans Light" w:cs="Open Sans Light"/>
        </w:rPr>
        <w:t>.</w:t>
      </w:r>
    </w:p>
    <w:p w14:paraId="6E9F09A6" w14:textId="6C8BC6DA" w:rsidR="00DF3C82" w:rsidRPr="009B6008" w:rsidRDefault="0028292E" w:rsidP="00A61B8F">
      <w:pPr>
        <w:pStyle w:val="Akapitzlist"/>
        <w:numPr>
          <w:ilvl w:val="0"/>
          <w:numId w:val="1"/>
        </w:numPr>
        <w:spacing w:before="120" w:after="120" w:line="276" w:lineRule="auto"/>
        <w:ind w:left="284" w:hanging="284"/>
        <w:rPr>
          <w:rFonts w:ascii="Open Sans Light" w:hAnsi="Open Sans Light" w:cs="Open Sans Light"/>
        </w:rPr>
      </w:pPr>
      <w:r w:rsidRPr="009B6008">
        <w:rPr>
          <w:rFonts w:ascii="Open Sans Light" w:hAnsi="Open Sans Light" w:cs="Open Sans Light"/>
        </w:rPr>
        <w:t>Działania informacyjne i promocyjne</w:t>
      </w:r>
      <w:r w:rsidR="00374BBE" w:rsidRPr="009B6008">
        <w:rPr>
          <w:rFonts w:ascii="Open Sans Light" w:hAnsi="Open Sans Light" w:cs="Open Sans Light"/>
        </w:rPr>
        <w:t>:</w:t>
      </w:r>
    </w:p>
    <w:p w14:paraId="664224D5" w14:textId="77777777" w:rsidR="00DF3C82" w:rsidRPr="009B6008" w:rsidRDefault="0028292E" w:rsidP="00A61B8F">
      <w:pPr>
        <w:pStyle w:val="Tekstpodstawowy2"/>
        <w:numPr>
          <w:ilvl w:val="0"/>
          <w:numId w:val="47"/>
        </w:numPr>
        <w:spacing w:before="120" w:after="120" w:line="276" w:lineRule="auto"/>
        <w:ind w:left="567" w:hanging="283"/>
        <w:jc w:val="left"/>
        <w:rPr>
          <w:rFonts w:ascii="Open Sans Light" w:hAnsi="Open Sans Light" w:cs="Open Sans Light"/>
          <w:sz w:val="22"/>
          <w:szCs w:val="22"/>
        </w:rPr>
      </w:pPr>
      <w:r w:rsidRPr="009B6008">
        <w:rPr>
          <w:rFonts w:ascii="Open Sans Light" w:hAnsi="Open Sans Light" w:cs="Open Sans Light"/>
          <w:sz w:val="22"/>
          <w:szCs w:val="22"/>
        </w:rPr>
        <w:t>Wydatki, do poniesienia których beneficjent jest zobowiązany celem wypełniania obowiązków informacyjnych i promocyjnych, w tym informowania społeczeństwa o dofinansowaniu projektu przez Unię Europejską, wynikają z rozporządzenia nr 2021/1060 (w szczególności z załącznikiem IX - Komunikacja i Widoczność);</w:t>
      </w:r>
    </w:p>
    <w:p w14:paraId="128BDF37" w14:textId="77777777" w:rsidR="00DF3C82" w:rsidRPr="009B6008" w:rsidRDefault="0028292E" w:rsidP="00A61B8F">
      <w:pPr>
        <w:pStyle w:val="Standard"/>
        <w:numPr>
          <w:ilvl w:val="0"/>
          <w:numId w:val="9"/>
        </w:numPr>
        <w:spacing w:before="120" w:after="120" w:line="276" w:lineRule="auto"/>
        <w:ind w:left="567" w:hanging="283"/>
        <w:rPr>
          <w:rFonts w:ascii="Open Sans Light" w:hAnsi="Open Sans Light" w:cs="Open Sans Light"/>
        </w:rPr>
      </w:pPr>
      <w:r w:rsidRPr="009B6008">
        <w:rPr>
          <w:rFonts w:ascii="Open Sans Light" w:hAnsi="Open Sans Light" w:cs="Open Sans Light"/>
        </w:rPr>
        <w:t>Działania informacyjne i promocyjne powinny odpowiadać wielkości projektu oraz brać pod uwagę jego cel i rodzaj, tzn. uwzględniać jego potrzeby promocyjne, w tym grupy docelowe;</w:t>
      </w:r>
    </w:p>
    <w:p w14:paraId="1AFF00AC" w14:textId="79F673B0" w:rsidR="00DF3C82" w:rsidRPr="009B6008" w:rsidRDefault="0028292E" w:rsidP="00A61B8F">
      <w:pPr>
        <w:pStyle w:val="Standard"/>
        <w:numPr>
          <w:ilvl w:val="0"/>
          <w:numId w:val="9"/>
        </w:numPr>
        <w:spacing w:before="120" w:after="120" w:line="276" w:lineRule="auto"/>
        <w:ind w:left="567" w:hanging="283"/>
        <w:rPr>
          <w:rFonts w:ascii="Open Sans Light" w:hAnsi="Open Sans Light" w:cs="Open Sans Light"/>
        </w:rPr>
      </w:pPr>
      <w:r w:rsidRPr="009B6008">
        <w:rPr>
          <w:rFonts w:ascii="Open Sans Light" w:hAnsi="Open Sans Light" w:cs="Open Sans Light"/>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komunikacji Funduszy Europejskich</w:t>
      </w:r>
      <w:r w:rsidR="009F7B93" w:rsidRPr="009B6008">
        <w:rPr>
          <w:rFonts w:ascii="Open Sans Light" w:hAnsi="Open Sans Light" w:cs="Open Sans Light"/>
        </w:rPr>
        <w:t>. Warunkiem kwalifikacji kosztów jest udokumentowanie bezpośredniego wykorzystani</w:t>
      </w:r>
      <w:r w:rsidR="00501668" w:rsidRPr="009B6008">
        <w:rPr>
          <w:rFonts w:ascii="Open Sans Light" w:hAnsi="Open Sans Light" w:cs="Open Sans Light"/>
        </w:rPr>
        <w:t>a</w:t>
      </w:r>
      <w:r w:rsidR="009F7B93" w:rsidRPr="009B6008">
        <w:rPr>
          <w:rFonts w:ascii="Open Sans Light" w:hAnsi="Open Sans Light" w:cs="Open Sans Light"/>
        </w:rPr>
        <w:t xml:space="preserve"> podczas konferencji/szkoleń dotyczących projektu</w:t>
      </w:r>
      <w:r w:rsidRPr="009B6008">
        <w:rPr>
          <w:rFonts w:ascii="Open Sans Light" w:hAnsi="Open Sans Light" w:cs="Open Sans Light"/>
        </w:rPr>
        <w:t>;</w:t>
      </w:r>
    </w:p>
    <w:p w14:paraId="43C98919" w14:textId="77777777" w:rsidR="00DF3C82" w:rsidRPr="009B6008" w:rsidRDefault="0028292E" w:rsidP="00A61B8F">
      <w:pPr>
        <w:pStyle w:val="Standard"/>
        <w:numPr>
          <w:ilvl w:val="0"/>
          <w:numId w:val="9"/>
        </w:numPr>
        <w:spacing w:before="120" w:after="120" w:line="276" w:lineRule="auto"/>
        <w:ind w:left="568" w:hanging="284"/>
        <w:rPr>
          <w:rFonts w:ascii="Open Sans Light" w:hAnsi="Open Sans Light" w:cs="Open Sans Light"/>
        </w:rPr>
      </w:pPr>
      <w:r w:rsidRPr="009B6008">
        <w:rPr>
          <w:rFonts w:ascii="Open Sans Light" w:hAnsi="Open Sans Light" w:cs="Open Sans Light"/>
        </w:rPr>
        <w:lastRenderedPageBreak/>
        <w:t>Działania informacyjne i promocyjne mogą być realizowane wyłącznie w obszarze wykorzystania/przeznaczenia Funduszy Europejskich, z wyłączeniem działań mających inny zakres, tj. np. kampanii politycznych;</w:t>
      </w:r>
    </w:p>
    <w:p w14:paraId="259D49EB" w14:textId="77777777" w:rsidR="00DF3C82" w:rsidRPr="009B6008" w:rsidRDefault="0028292E" w:rsidP="00A61B8F">
      <w:pPr>
        <w:pStyle w:val="Standard"/>
        <w:numPr>
          <w:ilvl w:val="0"/>
          <w:numId w:val="9"/>
        </w:numPr>
        <w:spacing w:before="120" w:after="120" w:line="276" w:lineRule="auto"/>
        <w:ind w:left="568" w:hanging="284"/>
        <w:rPr>
          <w:rFonts w:ascii="Open Sans Light" w:hAnsi="Open Sans Light" w:cs="Open Sans Light"/>
        </w:rPr>
      </w:pPr>
      <w:r w:rsidRPr="009B6008">
        <w:rPr>
          <w:rFonts w:ascii="Open Sans Light" w:hAnsi="Open Sans Light" w:cs="Open Sans Light"/>
        </w:rPr>
        <w:t xml:space="preserve">Wydatki związane z działaniami informacyjno-promocyjnymi </w:t>
      </w:r>
      <w:r w:rsidRPr="009B6008">
        <w:rPr>
          <w:rFonts w:ascii="Open Sans Light" w:eastAsia="MS Mincho" w:hAnsi="Open Sans Light" w:cs="Open Sans Light"/>
          <w:lang w:eastAsia="ja-JP"/>
        </w:rPr>
        <w:t xml:space="preserve">mogą być uznane za kwalifikowalne </w:t>
      </w:r>
      <w:r w:rsidRPr="009B6008">
        <w:rPr>
          <w:rFonts w:ascii="Open Sans Light" w:eastAsia="MS Mincho" w:hAnsi="Open Sans Light" w:cs="Open Sans Light"/>
          <w:b/>
          <w:lang w:eastAsia="ja-JP"/>
        </w:rPr>
        <w:t>pod warunkiem ich bezpośredniego wskazania we wniosku o dofinansowanie – Załącznik 5 do wniosku o dofinansowanie</w:t>
      </w:r>
      <w:r w:rsidRPr="009B6008">
        <w:rPr>
          <w:rFonts w:ascii="Open Sans Light" w:eastAsia="MS Mincho" w:hAnsi="Open Sans Light" w:cs="Open Sans Light"/>
          <w:bCs/>
          <w:u w:val="single"/>
          <w:lang w:eastAsia="ja-JP"/>
        </w:rPr>
        <w:t>.</w:t>
      </w:r>
      <w:r w:rsidRPr="009B6008">
        <w:rPr>
          <w:rFonts w:ascii="Open Sans Light" w:hAnsi="Open Sans Light" w:cs="Open Sans Light"/>
        </w:rPr>
        <w:t xml:space="preserve"> Koszty działań nie ujęte we wniosku o dofinansowanie lub w umowie o dofinansowanie nie będą uznane za kwalifikowane. </w:t>
      </w:r>
    </w:p>
    <w:p w14:paraId="1E297AF0" w14:textId="77777777" w:rsidR="00DF3C82" w:rsidRPr="009B6008" w:rsidRDefault="0028292E" w:rsidP="00A61B8F">
      <w:pPr>
        <w:pStyle w:val="Akapitzlist"/>
        <w:numPr>
          <w:ilvl w:val="0"/>
          <w:numId w:val="1"/>
        </w:numPr>
        <w:spacing w:before="120" w:after="120" w:line="276" w:lineRule="auto"/>
        <w:ind w:left="284" w:hanging="284"/>
        <w:rPr>
          <w:rFonts w:ascii="Open Sans Light" w:hAnsi="Open Sans Light" w:cs="Open Sans Light"/>
        </w:rPr>
      </w:pPr>
      <w:r w:rsidRPr="009B6008">
        <w:rPr>
          <w:rFonts w:ascii="Open Sans Light" w:hAnsi="Open Sans Light" w:cs="Open Sans Light"/>
        </w:rPr>
        <w:t>Działania edukacyjne w zakresie podnoszenia świadomości ekologicznej społeczeństwa:</w:t>
      </w:r>
    </w:p>
    <w:p w14:paraId="385E165D" w14:textId="77777777" w:rsidR="00DF3C82" w:rsidRPr="009B6008" w:rsidRDefault="0028292E" w:rsidP="00A61B8F">
      <w:pPr>
        <w:pStyle w:val="paragraph"/>
        <w:numPr>
          <w:ilvl w:val="0"/>
          <w:numId w:val="22"/>
        </w:numPr>
        <w:spacing w:before="120" w:after="120" w:line="276" w:lineRule="auto"/>
        <w:ind w:left="568" w:hanging="284"/>
        <w:rPr>
          <w:rFonts w:ascii="Open Sans Light" w:hAnsi="Open Sans Light" w:cs="Open Sans Light"/>
        </w:rPr>
      </w:pPr>
      <w:r w:rsidRPr="009B6008">
        <w:rPr>
          <w:rFonts w:ascii="Open Sans Light" w:hAnsi="Open Sans Light" w:cs="Open Sans Light"/>
          <w:sz w:val="22"/>
          <w:szCs w:val="22"/>
          <w:lang w:eastAsia="en-US"/>
        </w:rPr>
        <w:t xml:space="preserve">Wydatki związane z działaniami edukacyjnymi mogą być uznane za kwalifikowalne </w:t>
      </w:r>
      <w:r w:rsidRPr="009B6008">
        <w:rPr>
          <w:rFonts w:ascii="Open Sans Light" w:hAnsi="Open Sans Light" w:cs="Open Sans Light"/>
          <w:b/>
          <w:bCs/>
          <w:sz w:val="22"/>
          <w:szCs w:val="22"/>
          <w:lang w:eastAsia="en-US"/>
        </w:rPr>
        <w:t>pod warunkiem ich bezpośredniego wskazania we wniosku o</w:t>
      </w:r>
      <w:r w:rsidRPr="009B6008">
        <w:rPr>
          <w:rFonts w:ascii="Arial" w:hAnsi="Arial" w:cs="Arial"/>
          <w:b/>
          <w:bCs/>
          <w:sz w:val="22"/>
          <w:szCs w:val="22"/>
          <w:lang w:eastAsia="en-US"/>
        </w:rPr>
        <w:t> </w:t>
      </w:r>
      <w:r w:rsidRPr="009B6008">
        <w:rPr>
          <w:rFonts w:ascii="Open Sans Light" w:hAnsi="Open Sans Light" w:cs="Open Sans Light"/>
          <w:b/>
          <w:bCs/>
          <w:sz w:val="22"/>
          <w:szCs w:val="22"/>
          <w:lang w:eastAsia="en-US"/>
        </w:rPr>
        <w:t xml:space="preserve">dofinansowanie, a następnie w umowie o dofinansowanie. </w:t>
      </w:r>
      <w:r w:rsidRPr="009B6008">
        <w:rPr>
          <w:rFonts w:ascii="Open Sans Light" w:hAnsi="Open Sans Light" w:cs="Open Sans Light"/>
          <w:sz w:val="22"/>
          <w:szCs w:val="22"/>
          <w:lang w:eastAsia="en-US"/>
        </w:rPr>
        <w:t xml:space="preserve">Zmiana działań </w:t>
      </w:r>
      <w:proofErr w:type="gramStart"/>
      <w:r w:rsidRPr="009B6008">
        <w:rPr>
          <w:rFonts w:ascii="Open Sans Light" w:hAnsi="Open Sans Light" w:cs="Open Sans Light"/>
          <w:sz w:val="22"/>
          <w:szCs w:val="22"/>
          <w:lang w:eastAsia="en-US"/>
        </w:rPr>
        <w:t>edukacyjnych  wymaga</w:t>
      </w:r>
      <w:proofErr w:type="gramEnd"/>
      <w:r w:rsidRPr="009B6008">
        <w:rPr>
          <w:rFonts w:ascii="Open Sans Light" w:hAnsi="Open Sans Light" w:cs="Open Sans Light"/>
          <w:sz w:val="22"/>
          <w:szCs w:val="22"/>
          <w:lang w:eastAsia="en-US"/>
        </w:rPr>
        <w:t xml:space="preserve"> każdorazowo zgody Instytucji Wdrażającej;</w:t>
      </w:r>
    </w:p>
    <w:p w14:paraId="0C8CCB13" w14:textId="77777777" w:rsidR="00DF3C82" w:rsidRPr="009B6008" w:rsidRDefault="0028292E" w:rsidP="00A61B8F">
      <w:pPr>
        <w:pStyle w:val="paragraph"/>
        <w:numPr>
          <w:ilvl w:val="0"/>
          <w:numId w:val="22"/>
        </w:numPr>
        <w:spacing w:before="120" w:after="120" w:line="276" w:lineRule="auto"/>
        <w:ind w:left="568" w:hanging="284"/>
        <w:rPr>
          <w:rFonts w:ascii="Open Sans Light" w:hAnsi="Open Sans Light" w:cs="Open Sans Light"/>
        </w:rPr>
      </w:pPr>
      <w:r w:rsidRPr="009B6008">
        <w:rPr>
          <w:rFonts w:ascii="Open Sans Light" w:hAnsi="Open Sans Light" w:cs="Open Sans Light"/>
          <w:sz w:val="22"/>
          <w:szCs w:val="22"/>
          <w:lang w:eastAsia="en-US"/>
        </w:rPr>
        <w:t xml:space="preserve">Wydatki na działania edukacyjne mogą być ponoszone, </w:t>
      </w:r>
      <w:r w:rsidRPr="009B6008">
        <w:rPr>
          <w:rFonts w:ascii="Open Sans Light" w:hAnsi="Open Sans Light" w:cs="Open Sans Light"/>
          <w:sz w:val="22"/>
          <w:szCs w:val="22"/>
          <w:u w:val="single"/>
          <w:lang w:eastAsia="en-US"/>
        </w:rPr>
        <w:t>pod warunkiem, że będą one bezpośrednio związane z realizowanym projektem, a ich bezpośredni związek zostanie w należyty sposób uzasadniony we wniosku o dofinansowanie</w:t>
      </w:r>
      <w:r w:rsidRPr="009B6008">
        <w:rPr>
          <w:rFonts w:ascii="Open Sans Light" w:hAnsi="Open Sans Light" w:cs="Open Sans Light"/>
          <w:sz w:val="22"/>
          <w:szCs w:val="22"/>
          <w:lang w:eastAsia="en-US"/>
        </w:rPr>
        <w:t xml:space="preserve"> lub w załącznikach do niego.</w:t>
      </w:r>
    </w:p>
    <w:p w14:paraId="105750DA" w14:textId="77777777" w:rsidR="00DF3C82" w:rsidRPr="009B6008" w:rsidRDefault="0028292E" w:rsidP="00A61B8F">
      <w:pPr>
        <w:pStyle w:val="paragraph"/>
        <w:numPr>
          <w:ilvl w:val="0"/>
          <w:numId w:val="1"/>
        </w:numPr>
        <w:spacing w:before="120" w:after="120" w:line="276" w:lineRule="auto"/>
        <w:ind w:left="284" w:hanging="284"/>
        <w:rPr>
          <w:rFonts w:ascii="Open Sans Light" w:hAnsi="Open Sans Light" w:cs="Open Sans Light"/>
          <w:sz w:val="22"/>
          <w:szCs w:val="22"/>
          <w:lang w:eastAsia="en-US"/>
        </w:rPr>
      </w:pPr>
      <w:r w:rsidRPr="009B6008">
        <w:rPr>
          <w:rFonts w:ascii="Open Sans Light" w:hAnsi="Open Sans Light" w:cs="Open Sans Light"/>
          <w:sz w:val="22"/>
          <w:szCs w:val="22"/>
          <w:lang w:eastAsia="en-US"/>
        </w:rPr>
        <w:t>W ramach działań edukacyjnych nie będą kwalifikowalne m.in.: </w:t>
      </w:r>
    </w:p>
    <w:p w14:paraId="00C57079" w14:textId="77777777" w:rsidR="00DF3C82" w:rsidRPr="009B6008" w:rsidRDefault="0028292E" w:rsidP="00A61B8F">
      <w:pPr>
        <w:pStyle w:val="paragraph"/>
        <w:numPr>
          <w:ilvl w:val="0"/>
          <w:numId w:val="48"/>
        </w:numPr>
        <w:spacing w:before="120" w:after="120" w:line="276" w:lineRule="auto"/>
        <w:ind w:left="714" w:hanging="357"/>
        <w:rPr>
          <w:rFonts w:ascii="Open Sans Light" w:hAnsi="Open Sans Light" w:cs="Open Sans Light"/>
          <w:sz w:val="22"/>
          <w:szCs w:val="22"/>
          <w:lang w:eastAsia="en-US"/>
        </w:rPr>
      </w:pPr>
      <w:r w:rsidRPr="009B6008">
        <w:rPr>
          <w:rFonts w:ascii="Open Sans Light" w:hAnsi="Open Sans Light" w:cs="Open Sans Light"/>
          <w:sz w:val="22"/>
          <w:szCs w:val="22"/>
          <w:lang w:eastAsia="en-US"/>
        </w:rPr>
        <w:t>Koszty dotyczące robót budowlano-montażowych, koszty zakupu materiałów budowlanych oraz koszty dotyczące opracowania dokumentacji projektowej</w:t>
      </w:r>
      <w:r w:rsidRPr="009B6008">
        <w:rPr>
          <w:rFonts w:ascii="Open Sans Light" w:hAnsi="Open Sans Light" w:cs="Open Sans Light"/>
          <w:sz w:val="22"/>
          <w:szCs w:val="22"/>
          <w:lang w:eastAsia="en-US"/>
        </w:rPr>
        <w:br/>
        <w:t>i przetargowej w ramach prowadzonych lub zaplanowanych prac budowalnych/remontowych; </w:t>
      </w:r>
    </w:p>
    <w:p w14:paraId="31788B0E" w14:textId="77777777" w:rsidR="00DF3C82" w:rsidRPr="009B6008" w:rsidRDefault="0028292E" w:rsidP="00A61B8F">
      <w:pPr>
        <w:pStyle w:val="paragraph"/>
        <w:spacing w:before="120" w:after="120" w:line="276" w:lineRule="auto"/>
        <w:ind w:left="709"/>
        <w:rPr>
          <w:rFonts w:ascii="Open Sans Light" w:hAnsi="Open Sans Light" w:cs="Open Sans Light"/>
          <w:sz w:val="22"/>
          <w:szCs w:val="22"/>
          <w:lang w:eastAsia="en-US"/>
        </w:rPr>
      </w:pPr>
      <w:r w:rsidRPr="009B6008">
        <w:rPr>
          <w:rFonts w:ascii="Open Sans Light" w:hAnsi="Open Sans Light" w:cs="Open Sans Light"/>
          <w:sz w:val="22"/>
          <w:szCs w:val="22"/>
          <w:lang w:eastAsia="en-US"/>
        </w:rPr>
        <w:t>Powyższe wyłączenie nie obejmuje prac związanych z budową ścieżek edukacyjnych w obiektach związanych z prowadzoną działalnością wodno-kanalizacyjną.</w:t>
      </w:r>
    </w:p>
    <w:p w14:paraId="787B5B4B" w14:textId="77777777" w:rsidR="00DF3C82" w:rsidRPr="009B6008" w:rsidRDefault="0028292E" w:rsidP="00A61B8F">
      <w:pPr>
        <w:pStyle w:val="paragraph"/>
        <w:numPr>
          <w:ilvl w:val="0"/>
          <w:numId w:val="48"/>
        </w:numPr>
        <w:spacing w:before="120" w:after="120" w:line="276" w:lineRule="auto"/>
        <w:ind w:left="714" w:hanging="357"/>
        <w:rPr>
          <w:rFonts w:ascii="Open Sans Light" w:hAnsi="Open Sans Light" w:cs="Open Sans Light"/>
          <w:sz w:val="22"/>
          <w:szCs w:val="22"/>
          <w:lang w:eastAsia="en-US"/>
        </w:rPr>
      </w:pPr>
      <w:r w:rsidRPr="009B6008">
        <w:rPr>
          <w:rFonts w:ascii="Open Sans Light" w:hAnsi="Open Sans Light" w:cs="Open Sans Light"/>
          <w:sz w:val="22"/>
          <w:szCs w:val="22"/>
          <w:lang w:eastAsia="en-US"/>
        </w:rPr>
        <w:t>Koszty zakupu nieruchomości oraz koszty związane z zakupem nieruchomości; </w:t>
      </w:r>
    </w:p>
    <w:p w14:paraId="2F6A5554" w14:textId="77777777" w:rsidR="00DF3C82" w:rsidRPr="009B6008" w:rsidRDefault="0028292E" w:rsidP="00A61B8F">
      <w:pPr>
        <w:pStyle w:val="paragraph"/>
        <w:numPr>
          <w:ilvl w:val="0"/>
          <w:numId w:val="48"/>
        </w:numPr>
        <w:spacing w:before="120" w:after="120" w:line="276" w:lineRule="auto"/>
        <w:ind w:left="714" w:hanging="357"/>
        <w:rPr>
          <w:rFonts w:ascii="Open Sans Light" w:hAnsi="Open Sans Light" w:cs="Open Sans Light"/>
        </w:rPr>
      </w:pPr>
      <w:r w:rsidRPr="009B6008">
        <w:rPr>
          <w:rFonts w:ascii="Open Sans Light" w:hAnsi="Open Sans Light" w:cs="Open Sans Light"/>
          <w:sz w:val="22"/>
          <w:szCs w:val="22"/>
          <w:lang w:eastAsia="en-US"/>
        </w:rPr>
        <w:t>Koszty nabycia prawa użytkowania wieczystego i/lub innych tytułów prawnych do nieruchomości oraz koszty związane z zakupem wymienionych pozycji. </w:t>
      </w:r>
    </w:p>
    <w:p w14:paraId="1D584A2A" w14:textId="7DA78644" w:rsidR="00DF3C82" w:rsidRPr="009B6008" w:rsidRDefault="0028292E" w:rsidP="00A61B8F">
      <w:pPr>
        <w:pStyle w:val="paragraph"/>
        <w:numPr>
          <w:ilvl w:val="0"/>
          <w:numId w:val="1"/>
        </w:numPr>
        <w:spacing w:before="120" w:after="120" w:line="276" w:lineRule="auto"/>
        <w:ind w:left="284" w:hanging="284"/>
        <w:rPr>
          <w:rFonts w:ascii="Open Sans Light" w:hAnsi="Open Sans Light" w:cs="Open Sans Light"/>
        </w:rPr>
      </w:pPr>
      <w:r w:rsidRPr="009B6008">
        <w:rPr>
          <w:rFonts w:ascii="Open Sans Light" w:hAnsi="Open Sans Light" w:cs="Open Sans Light"/>
          <w:sz w:val="22"/>
          <w:szCs w:val="22"/>
        </w:rPr>
        <w:t>Współpraca, w tym wymiana wiedzy i doświadczeń oraz konsultacje z partnerami innych państw członkowskich kandydujących lub stowarzyszonych pod warunkiem, że będzie to bezpośrednio związane z realizowanym projektem, a bezpośredni związek zostanie w</w:t>
      </w:r>
      <w:r w:rsidR="00E71053" w:rsidRPr="009B6008">
        <w:rPr>
          <w:rFonts w:ascii="Open Sans Light" w:hAnsi="Open Sans Light" w:cs="Open Sans Light"/>
          <w:sz w:val="22"/>
          <w:szCs w:val="22"/>
        </w:rPr>
        <w:t> </w:t>
      </w:r>
      <w:r w:rsidRPr="009B6008">
        <w:rPr>
          <w:rFonts w:ascii="Open Sans Light" w:hAnsi="Open Sans Light" w:cs="Open Sans Light"/>
          <w:sz w:val="22"/>
          <w:szCs w:val="22"/>
        </w:rPr>
        <w:t>należyty sposób uzasadniony we wniosku o dofinansowanie lub w załącznikach do niego.</w:t>
      </w:r>
    </w:p>
    <w:p w14:paraId="5F21EE25" w14:textId="77777777" w:rsidR="00DF3C82" w:rsidRPr="009B6008" w:rsidRDefault="0028292E" w:rsidP="00A61B8F">
      <w:pPr>
        <w:pStyle w:val="Akapitzlist"/>
        <w:numPr>
          <w:ilvl w:val="0"/>
          <w:numId w:val="1"/>
        </w:numPr>
        <w:spacing w:before="120" w:after="120" w:line="276" w:lineRule="auto"/>
        <w:ind w:left="284" w:hanging="284"/>
        <w:rPr>
          <w:rFonts w:ascii="Open Sans Light" w:hAnsi="Open Sans Light" w:cs="Open Sans Light"/>
        </w:rPr>
      </w:pPr>
      <w:r w:rsidRPr="009B6008">
        <w:rPr>
          <w:rFonts w:ascii="Open Sans Light" w:hAnsi="Open Sans Light" w:cs="Open Sans Light"/>
        </w:rPr>
        <w:t>Prowadzone w ramach i w związku z realizacją projektu działania na rzecz adaptacji do zmian klimatu oraz działania dotyczące kwestii ochrony, promowania i przywracania zdrowych ekosystemów, zielonej infrastruktury i rozwiązań opartych na efektywnych zasobach przyrody:</w:t>
      </w:r>
    </w:p>
    <w:p w14:paraId="33B9E6D2" w14:textId="77777777" w:rsidR="00DF3C82" w:rsidRPr="009B6008" w:rsidRDefault="0028292E" w:rsidP="00A61B8F">
      <w:pPr>
        <w:pStyle w:val="Akapitzlist"/>
        <w:numPr>
          <w:ilvl w:val="0"/>
          <w:numId w:val="49"/>
        </w:numPr>
        <w:spacing w:before="120" w:after="120" w:line="276" w:lineRule="auto"/>
        <w:ind w:left="567" w:hanging="283"/>
        <w:rPr>
          <w:rFonts w:ascii="Open Sans Light" w:hAnsi="Open Sans Light" w:cs="Open Sans Light"/>
        </w:rPr>
      </w:pPr>
      <w:r w:rsidRPr="009B6008">
        <w:rPr>
          <w:rFonts w:ascii="Open Sans Light" w:hAnsi="Open Sans Light" w:cs="Open Sans Light"/>
        </w:rPr>
        <w:lastRenderedPageBreak/>
        <w:t>Wydatki poniesione na dodatkowe (nie wynikające z rozstrzygnięć administracyjnych) nasadzenia drzew lub drzew i krzewów wieloletnich (roślin rodzimych właściwych dla strefy klimatycznej oraz naturalnie przystosowanych do środowiska, w którym będą wzrastały);</w:t>
      </w:r>
    </w:p>
    <w:p w14:paraId="7DD8D6E9" w14:textId="1ED6EBB8" w:rsidR="00DF3C82" w:rsidRPr="009B6008" w:rsidRDefault="0028292E" w:rsidP="00A61B8F">
      <w:pPr>
        <w:pStyle w:val="Akapitzlist"/>
        <w:numPr>
          <w:ilvl w:val="0"/>
          <w:numId w:val="49"/>
        </w:numPr>
        <w:spacing w:before="120" w:after="120" w:line="276" w:lineRule="auto"/>
        <w:ind w:left="567" w:hanging="283"/>
        <w:rPr>
          <w:rFonts w:ascii="Open Sans Light" w:hAnsi="Open Sans Light" w:cs="Open Sans Light"/>
        </w:rPr>
      </w:pPr>
      <w:r w:rsidRPr="009B6008">
        <w:rPr>
          <w:rFonts w:ascii="Open Sans Light" w:hAnsi="Open Sans Light" w:cs="Open Sans Light"/>
        </w:rPr>
        <w:t xml:space="preserve">Wydatki poniesione w związku z działaniami opartymi na przyrodzie (o charakterze półnaturalnym) mającymi na celu zagospodarowanie wody opadowej </w:t>
      </w:r>
      <w:r w:rsidRPr="009B6008">
        <w:rPr>
          <w:rFonts w:ascii="Open Sans Light" w:hAnsi="Open Sans Light" w:cs="Open Sans Light"/>
          <w:bCs/>
          <w:u w:val="single"/>
        </w:rPr>
        <w:t xml:space="preserve">w miejscu realizacji projektu </w:t>
      </w:r>
      <w:r w:rsidRPr="009B6008">
        <w:rPr>
          <w:rFonts w:ascii="Open Sans Light" w:hAnsi="Open Sans Light" w:cs="Open Sans Light"/>
        </w:rPr>
        <w:t>(wykorzystanie wód opa</w:t>
      </w:r>
      <w:r w:rsidR="007E7EB8" w:rsidRPr="009B6008">
        <w:rPr>
          <w:rFonts w:ascii="Open Sans Light" w:hAnsi="Open Sans Light" w:cs="Open Sans Light"/>
        </w:rPr>
        <w:t>dowych w miejscu ich powstania</w:t>
      </w:r>
      <w:r w:rsidRPr="009B6008">
        <w:rPr>
          <w:rFonts w:ascii="Open Sans Light" w:hAnsi="Open Sans Light" w:cs="Open Sans Light"/>
        </w:rPr>
        <w:t>, w tym: założenie niecek retencyjnych, muld chłonnych, nawierzchni przepuszczalnych, ogrodów deszczowych i zielonych dachów/zielonych ścian wykorzystujących do zasilania tylko wody opadowe</w:t>
      </w:r>
      <w:r w:rsidR="00EE4E09" w:rsidRPr="009B6008">
        <w:rPr>
          <w:rFonts w:ascii="Open Sans Light" w:hAnsi="Open Sans Light" w:cs="Open Sans Light"/>
        </w:rPr>
        <w:t xml:space="preserve">, </w:t>
      </w:r>
      <w:proofErr w:type="gramStart"/>
      <w:r w:rsidR="00EE4E09" w:rsidRPr="009B6008">
        <w:rPr>
          <w:rFonts w:ascii="Open Sans Light" w:hAnsi="Open Sans Light" w:cs="Open Sans Light"/>
        </w:rPr>
        <w:t>za wyjątkiem</w:t>
      </w:r>
      <w:proofErr w:type="gramEnd"/>
      <w:r w:rsidR="00EE4E09" w:rsidRPr="009B6008">
        <w:rPr>
          <w:rFonts w:ascii="Open Sans Light" w:hAnsi="Open Sans Light" w:cs="Open Sans Light"/>
        </w:rPr>
        <w:t xml:space="preserve"> zbiorników małej retencji</w:t>
      </w:r>
      <w:r w:rsidRPr="009B6008">
        <w:rPr>
          <w:rFonts w:ascii="Open Sans Light" w:hAnsi="Open Sans Light" w:cs="Open Sans Light"/>
        </w:rPr>
        <w:t>);</w:t>
      </w:r>
    </w:p>
    <w:p w14:paraId="02B99392" w14:textId="2F415413" w:rsidR="00DF3C82" w:rsidRPr="009B6008" w:rsidRDefault="0028292E" w:rsidP="00A61B8F">
      <w:pPr>
        <w:pStyle w:val="Akapitzlist"/>
        <w:numPr>
          <w:ilvl w:val="0"/>
          <w:numId w:val="49"/>
        </w:numPr>
        <w:spacing w:before="120" w:after="120" w:line="276" w:lineRule="auto"/>
        <w:ind w:left="567" w:hanging="283"/>
        <w:rPr>
          <w:rFonts w:ascii="Open Sans Light" w:hAnsi="Open Sans Light" w:cs="Open Sans Light"/>
        </w:rPr>
      </w:pPr>
      <w:r w:rsidRPr="009B6008">
        <w:rPr>
          <w:rFonts w:ascii="Open Sans Light" w:hAnsi="Open Sans Light" w:cs="Open Sans Light"/>
        </w:rPr>
        <w:t>Wydatki poniesione w związku z działaniami na rzecz ochrony przyrody i</w:t>
      </w:r>
      <w:r w:rsidR="00E71053" w:rsidRPr="009B6008">
        <w:rPr>
          <w:rFonts w:ascii="Open Sans Light" w:hAnsi="Open Sans Light" w:cs="Open Sans Light"/>
        </w:rPr>
        <w:t> </w:t>
      </w:r>
      <w:r w:rsidRPr="009B6008">
        <w:rPr>
          <w:rFonts w:ascii="Open Sans Light" w:hAnsi="Open Sans Light" w:cs="Open Sans Light"/>
        </w:rPr>
        <w:t xml:space="preserve">bioróżnorodności </w:t>
      </w:r>
      <w:r w:rsidRPr="009B6008">
        <w:rPr>
          <w:rFonts w:ascii="Open Sans Light" w:hAnsi="Open Sans Light" w:cs="Open Sans Light"/>
          <w:bCs/>
          <w:u w:val="single"/>
        </w:rPr>
        <w:t>w miejscu realizacji projektu</w:t>
      </w:r>
      <w:r w:rsidRPr="009B6008">
        <w:rPr>
          <w:rFonts w:ascii="Open Sans Light" w:hAnsi="Open Sans Light" w:cs="Open Sans Light"/>
        </w:rPr>
        <w:t xml:space="preserve">, w tym: tworzenie </w:t>
      </w:r>
      <w:proofErr w:type="spellStart"/>
      <w:r w:rsidRPr="009B6008">
        <w:rPr>
          <w:rFonts w:ascii="Open Sans Light" w:hAnsi="Open Sans Light" w:cs="Open Sans Light"/>
        </w:rPr>
        <w:t>ekostref</w:t>
      </w:r>
      <w:proofErr w:type="spellEnd"/>
      <w:r w:rsidRPr="009B6008">
        <w:rPr>
          <w:rFonts w:ascii="Open Sans Light" w:hAnsi="Open Sans Light" w:cs="Open Sans Light"/>
        </w:rPr>
        <w:t>/</w:t>
      </w:r>
      <w:proofErr w:type="spellStart"/>
      <w:r w:rsidRPr="009B6008">
        <w:rPr>
          <w:rFonts w:ascii="Open Sans Light" w:hAnsi="Open Sans Light" w:cs="Open Sans Light"/>
        </w:rPr>
        <w:t>ekospotów</w:t>
      </w:r>
      <w:proofErr w:type="spellEnd"/>
      <w:r w:rsidRPr="009B6008">
        <w:rPr>
          <w:rFonts w:ascii="Open Sans Light" w:hAnsi="Open Sans Light" w:cs="Open Sans Light"/>
        </w:rPr>
        <w:t>, tj. siedlisk umożliwiających rozwój drobnych ssaków, bezkręgowców, grzybów, mchów i</w:t>
      </w:r>
      <w:r w:rsidR="00E71053" w:rsidRPr="009B6008">
        <w:rPr>
          <w:rFonts w:ascii="Open Sans Light" w:hAnsi="Open Sans Light" w:cs="Open Sans Light"/>
        </w:rPr>
        <w:t> </w:t>
      </w:r>
      <w:r w:rsidRPr="009B6008">
        <w:rPr>
          <w:rFonts w:ascii="Open Sans Light" w:hAnsi="Open Sans Light" w:cs="Open Sans Light"/>
        </w:rPr>
        <w:t xml:space="preserve">porostów,  nasadzenia gatunków dających pożytek owadom zapylającym lub stanowiących bazę pokarmową dla ptaków i drobnej fauny, zakup i montaż budek lęgowych, poideł dla ptaków, domków dla owadów; zwalczanie gatunków inwazyjnych obcych; założenie/przywrócenie łąk kwietnych, itp. - </w:t>
      </w:r>
      <w:r w:rsidRPr="009B6008">
        <w:rPr>
          <w:rFonts w:ascii="Open Sans Light" w:hAnsi="Open Sans Light" w:cs="Open Sans Light"/>
          <w:bCs/>
          <w:u w:val="single"/>
        </w:rPr>
        <w:t>tam, gdzie rozwiązania te przyczynią się bezpośrednio do ochrony przyrody i bioróżnorodności w miejscu realizacji inwestycji.</w:t>
      </w:r>
    </w:p>
    <w:p w14:paraId="2F3BF6AA" w14:textId="77777777" w:rsidR="00787B5D" w:rsidRPr="009B6008" w:rsidRDefault="00787B5D" w:rsidP="00A61B8F">
      <w:pPr>
        <w:pStyle w:val="Nagwek1"/>
        <w:spacing w:line="276" w:lineRule="auto"/>
      </w:pPr>
      <w:r w:rsidRPr="009B6008">
        <w:t>Nadzór/Zarządzanie inwestycją</w:t>
      </w:r>
    </w:p>
    <w:p w14:paraId="2A72AE60" w14:textId="77777777" w:rsidR="00787B5D" w:rsidRPr="009B6008" w:rsidRDefault="00787B5D" w:rsidP="00A61B8F">
      <w:pPr>
        <w:pStyle w:val="paragraph"/>
        <w:numPr>
          <w:ilvl w:val="0"/>
          <w:numId w:val="59"/>
        </w:numPr>
        <w:spacing w:before="120" w:after="120" w:line="276" w:lineRule="auto"/>
        <w:ind w:left="284" w:hanging="284"/>
        <w:rPr>
          <w:rFonts w:ascii="Open Sans Light" w:hAnsi="Open Sans Light" w:cs="Open Sans Light"/>
          <w:sz w:val="22"/>
          <w:szCs w:val="22"/>
        </w:rPr>
      </w:pPr>
      <w:r w:rsidRPr="009B6008">
        <w:rPr>
          <w:rFonts w:ascii="Open Sans Light" w:hAnsi="Open Sans Light" w:cs="Open Sans Light"/>
          <w:sz w:val="22"/>
          <w:szCs w:val="22"/>
        </w:rPr>
        <w:t>W przypadku, gdy nadzór nad robotami budowlanymi jest realizowany przez pracowników beneficjenta posiadających odpowiednie kwalifikacje, wydatki związane z wynagrodzeniami dla pracowników realizujących nadzór nad robotami budowlanymi mogą być uznane za kwalifikowalne na warunkach wskazanych w podrozdziale 3.8 Wytycznych dotyczących kwalifikowalności wydatków na lata 2021-2027 – Personel projektu.</w:t>
      </w:r>
    </w:p>
    <w:p w14:paraId="0C9871D1" w14:textId="77777777" w:rsidR="00787B5D" w:rsidRPr="009B6008" w:rsidRDefault="00787B5D" w:rsidP="00A61B8F">
      <w:pPr>
        <w:pStyle w:val="Standard"/>
        <w:numPr>
          <w:ilvl w:val="0"/>
          <w:numId w:val="59"/>
        </w:numPr>
        <w:spacing w:before="120" w:after="120" w:line="276" w:lineRule="auto"/>
        <w:ind w:left="284" w:hanging="284"/>
        <w:rPr>
          <w:rFonts w:ascii="Open Sans Light" w:hAnsi="Open Sans Light" w:cs="Open Sans Light"/>
        </w:rPr>
      </w:pPr>
      <w:r w:rsidRPr="009B6008">
        <w:rPr>
          <w:rFonts w:ascii="Open Sans Light" w:hAnsi="Open Sans Light" w:cs="Open Sans Light"/>
        </w:rPr>
        <w:t>Zapewnienie zaplecza dla nadzoru inwestorskiego nad robotami budowlanymi może być kwalifikowane pod poniższymi warunkami:</w:t>
      </w:r>
    </w:p>
    <w:p w14:paraId="4F5329B4" w14:textId="78433C95" w:rsidR="00787B5D" w:rsidRPr="009B6008" w:rsidRDefault="00787B5D" w:rsidP="00A61B8F">
      <w:pPr>
        <w:pStyle w:val="Standard"/>
        <w:numPr>
          <w:ilvl w:val="0"/>
          <w:numId w:val="60"/>
        </w:numPr>
        <w:spacing w:before="120" w:after="120" w:line="276" w:lineRule="auto"/>
        <w:ind w:left="567" w:hanging="283"/>
        <w:rPr>
          <w:rFonts w:ascii="Open Sans Light" w:hAnsi="Open Sans Light" w:cs="Open Sans Light"/>
        </w:rPr>
      </w:pPr>
      <w:r w:rsidRPr="009B6008">
        <w:rPr>
          <w:rFonts w:ascii="Open Sans Light" w:hAnsi="Open Sans Light" w:cs="Open Sans Light"/>
        </w:rPr>
        <w:t xml:space="preserve">W przypadku, gdy w ramach projektu zawierany jest kontrakt na nadzór inwestorski nad robotami budowlanymi, </w:t>
      </w:r>
      <w:r w:rsidRPr="009B6008">
        <w:rPr>
          <w:rFonts w:ascii="Open Sans Light" w:hAnsi="Open Sans Light" w:cs="Open Sans Light"/>
          <w:u w:val="single"/>
        </w:rPr>
        <w:t>wydatki związane z zapewnieniem zaplecza Inżyniera nadzoru powinny być uwzględnione w kontraktach na nadzór</w:t>
      </w:r>
      <w:r w:rsidRPr="009B6008">
        <w:rPr>
          <w:rFonts w:ascii="Open Sans Light" w:hAnsi="Open Sans Light" w:cs="Open Sans Light"/>
        </w:rPr>
        <w:t>, a nie w kontraktach na roboty. Kontrakt powinien obejmować zapewnienie sprzętu i wyposażenie, konieczne do realizacji jego zadań wynikających z kontraktu. Wszystkie wydatki związane z</w:t>
      </w:r>
      <w:r w:rsidR="00E71053" w:rsidRPr="009B6008">
        <w:rPr>
          <w:rFonts w:ascii="Open Sans Light" w:hAnsi="Open Sans Light" w:cs="Open Sans Light"/>
        </w:rPr>
        <w:t> </w:t>
      </w:r>
      <w:r w:rsidRPr="009B6008">
        <w:rPr>
          <w:rFonts w:ascii="Open Sans Light" w:hAnsi="Open Sans Light" w:cs="Open Sans Light"/>
        </w:rPr>
        <w:t>zapewnieniem lub utrzymaniem ww. wyposażenia lub sprzętu powinny zostać ujęte w wynagrodzeniu przewidzianego w kontrakcie. Oznacza to m.in., iż kontrakt na nadzór inwestorski nie powinien przewidywać, iż zamawiający zapłaci wykonawcy nadzoru inwestorskiego za zakup sprzętu i wyposażenia (np. samochody, komputery, telefony komórkowe, itp.);</w:t>
      </w:r>
    </w:p>
    <w:p w14:paraId="4473C2DF" w14:textId="351B514B" w:rsidR="00787B5D" w:rsidRPr="009B6008" w:rsidRDefault="00787B5D" w:rsidP="00A61B8F">
      <w:pPr>
        <w:pStyle w:val="Standard"/>
        <w:numPr>
          <w:ilvl w:val="0"/>
          <w:numId w:val="60"/>
        </w:numPr>
        <w:spacing w:before="120" w:after="120" w:line="276" w:lineRule="auto"/>
        <w:ind w:left="567" w:hanging="283"/>
        <w:rPr>
          <w:rFonts w:ascii="Open Sans Light" w:hAnsi="Open Sans Light" w:cs="Open Sans Light"/>
        </w:rPr>
      </w:pPr>
      <w:r w:rsidRPr="009B6008">
        <w:rPr>
          <w:rFonts w:ascii="Open Sans Light" w:hAnsi="Open Sans Light" w:cs="Open Sans Light"/>
          <w:u w:val="single"/>
        </w:rPr>
        <w:lastRenderedPageBreak/>
        <w:t>Wydatki poniesione przez beneficjenta (zamawiającego) na nabycie sprzętu i</w:t>
      </w:r>
      <w:r w:rsidR="007A43CC">
        <w:rPr>
          <w:rFonts w:ascii="Open Sans Light" w:hAnsi="Open Sans Light" w:cs="Open Sans Light"/>
          <w:u w:val="single"/>
        </w:rPr>
        <w:t> </w:t>
      </w:r>
      <w:r w:rsidRPr="009B6008">
        <w:rPr>
          <w:rFonts w:ascii="Open Sans Light" w:hAnsi="Open Sans Light" w:cs="Open Sans Light"/>
          <w:u w:val="single"/>
        </w:rPr>
        <w:t>wyposażenia dla nadzoru inwestorskiego nad robotami</w:t>
      </w:r>
      <w:r w:rsidRPr="009B6008">
        <w:rPr>
          <w:rFonts w:ascii="Open Sans Light" w:hAnsi="Open Sans Light" w:cs="Open Sans Light"/>
        </w:rPr>
        <w:t xml:space="preserve"> stanowią wydatki niekwalifikowalne;</w:t>
      </w:r>
    </w:p>
    <w:p w14:paraId="5BF8B899" w14:textId="2807AEBE" w:rsidR="00787B5D" w:rsidRPr="009B6008" w:rsidRDefault="00787B5D" w:rsidP="00A61B8F">
      <w:pPr>
        <w:pStyle w:val="Standard"/>
        <w:numPr>
          <w:ilvl w:val="0"/>
          <w:numId w:val="60"/>
        </w:numPr>
        <w:spacing w:before="120" w:after="120" w:line="276" w:lineRule="auto"/>
        <w:ind w:left="567" w:hanging="283"/>
        <w:rPr>
          <w:rFonts w:ascii="Open Sans Light" w:hAnsi="Open Sans Light" w:cs="Open Sans Light"/>
        </w:rPr>
      </w:pPr>
      <w:r w:rsidRPr="009B6008">
        <w:rPr>
          <w:rFonts w:ascii="Open Sans Light" w:hAnsi="Open Sans Light" w:cs="Open Sans Light"/>
          <w:u w:val="single"/>
        </w:rPr>
        <w:t>Wydatki związane z zapewnieniem przez wykonawcę kontraktu na roboty budowlane budynku oraz parkingu dla Inżyniera nadzoru na terenie placu budowy lub zaplecza budowy</w:t>
      </w:r>
      <w:r w:rsidRPr="009B6008">
        <w:rPr>
          <w:rFonts w:ascii="Open Sans Light" w:hAnsi="Open Sans Light" w:cs="Open Sans Light"/>
        </w:rPr>
        <w:t xml:space="preserve"> mogą być uznane za kwalifikowalne, o ile zostaną zachowane pozostałe wymogi obowiązujące w ramach FEnIKS. Wydatki na zapewnienie budynku dla osób sprawujących nadzór inwestorski nad robotami nie mogą uwzględniać wydatków na meble, wyposażenie kuchenne, komputery, telefony komórkowe, samochody oraz innego typu wyposażenia i sprzętu dla Inżyniera nadzoru.</w:t>
      </w:r>
    </w:p>
    <w:p w14:paraId="6C0EBB2D" w14:textId="465E4E8F" w:rsidR="00DF3C82" w:rsidRPr="009B6008" w:rsidRDefault="0028292E" w:rsidP="00A61B8F">
      <w:pPr>
        <w:pStyle w:val="Nagwek1"/>
        <w:spacing w:line="276" w:lineRule="auto"/>
      </w:pPr>
      <w:r w:rsidRPr="009B6008">
        <w:t>Warto</w:t>
      </w:r>
      <w:r w:rsidR="00023B35" w:rsidRPr="009B6008">
        <w:t>ś</w:t>
      </w:r>
      <w:r w:rsidRPr="009B6008">
        <w:t>ci niematerialne i prawne</w:t>
      </w:r>
    </w:p>
    <w:p w14:paraId="0C2F9726" w14:textId="46781E9C" w:rsidR="00DF3C82" w:rsidRPr="009B6008" w:rsidRDefault="0028292E" w:rsidP="00A61B8F">
      <w:pPr>
        <w:pStyle w:val="Akapitzlist"/>
        <w:numPr>
          <w:ilvl w:val="0"/>
          <w:numId w:val="50"/>
        </w:numPr>
        <w:spacing w:before="120" w:after="120" w:line="276" w:lineRule="auto"/>
        <w:ind w:left="284" w:hanging="284"/>
        <w:rPr>
          <w:rFonts w:ascii="Open Sans Light" w:hAnsi="Open Sans Light" w:cs="Open Sans Light"/>
        </w:rPr>
      </w:pPr>
      <w:r w:rsidRPr="009B6008">
        <w:rPr>
          <w:rFonts w:ascii="Open Sans Light" w:hAnsi="Open Sans Light" w:cs="Open Sans Light"/>
        </w:rPr>
        <w:t xml:space="preserve">Wartości niematerialne i prawne </w:t>
      </w:r>
      <w:r w:rsidR="00023B35" w:rsidRPr="009B6008">
        <w:rPr>
          <w:rFonts w:ascii="Open Sans Light" w:hAnsi="Open Sans Light" w:cs="Open Sans Light"/>
        </w:rPr>
        <w:t>należy rozumieć zgodnie z definicją wynikającą z ustawy o rachunkowości, tj. należą do nich</w:t>
      </w:r>
      <w:r w:rsidRPr="009B6008">
        <w:rPr>
          <w:rFonts w:ascii="Open Sans Light" w:hAnsi="Open Sans Light" w:cs="Open Sans Light"/>
        </w:rPr>
        <w:t xml:space="preserve"> nabyte przez jednostkę, zaliczane do aktywów trwałych, prawa majątkowe nadające się do gospodarczego wykorzystania, o</w:t>
      </w:r>
      <w:r w:rsidR="00E71053" w:rsidRPr="009B6008">
        <w:rPr>
          <w:rFonts w:ascii="Open Sans Light" w:hAnsi="Open Sans Light" w:cs="Open Sans Light"/>
        </w:rPr>
        <w:t> </w:t>
      </w:r>
      <w:r w:rsidRPr="009B6008">
        <w:rPr>
          <w:rFonts w:ascii="Open Sans Light" w:hAnsi="Open Sans Light" w:cs="Open Sans Light"/>
        </w:rPr>
        <w:t xml:space="preserve">przewidywanym okresie ekonomicznej użyteczności dłuższym niż rok, przeznaczone do używania na potrzeby jednostki. </w:t>
      </w:r>
    </w:p>
    <w:p w14:paraId="18C65291" w14:textId="77777777" w:rsidR="00DF3C82" w:rsidRPr="009B6008" w:rsidRDefault="0028292E" w:rsidP="00A61B8F">
      <w:pPr>
        <w:pStyle w:val="Akapitzlist"/>
        <w:numPr>
          <w:ilvl w:val="0"/>
          <w:numId w:val="50"/>
        </w:numPr>
        <w:spacing w:before="120" w:after="120" w:line="276" w:lineRule="auto"/>
        <w:ind w:left="284" w:hanging="284"/>
        <w:rPr>
          <w:rFonts w:ascii="Open Sans Light" w:hAnsi="Open Sans Light" w:cs="Open Sans Light"/>
        </w:rPr>
      </w:pPr>
      <w:r w:rsidRPr="009B6008">
        <w:rPr>
          <w:rFonts w:ascii="Open Sans Light" w:hAnsi="Open Sans Light" w:cs="Open Sans Light"/>
        </w:rPr>
        <w:t>Zaliczamy do nich w szczególności: autorskie prawa majątkowe, prawa pokrewne, licencje, koncesje, prawa do wynalazków, patentów, znaków towarowych, wzorów użytkowych oraz zdobniczych, know-how.</w:t>
      </w:r>
    </w:p>
    <w:p w14:paraId="0B5A3C47" w14:textId="77777777" w:rsidR="00DF3C82" w:rsidRPr="009B6008" w:rsidRDefault="0028292E" w:rsidP="00A61B8F">
      <w:pPr>
        <w:pStyle w:val="Akapitzlist"/>
        <w:numPr>
          <w:ilvl w:val="0"/>
          <w:numId w:val="50"/>
        </w:numPr>
        <w:spacing w:before="120" w:after="120" w:line="276" w:lineRule="auto"/>
        <w:ind w:left="284" w:hanging="284"/>
        <w:rPr>
          <w:rFonts w:ascii="Open Sans Light" w:hAnsi="Open Sans Light" w:cs="Open Sans Light"/>
        </w:rPr>
      </w:pPr>
      <w:r w:rsidRPr="009B6008">
        <w:rPr>
          <w:rFonts w:ascii="Open Sans Light" w:hAnsi="Open Sans Light" w:cs="Open Sans Light"/>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p>
    <w:p w14:paraId="1FC71ABB" w14:textId="77777777" w:rsidR="00DF3C82" w:rsidRPr="009B6008" w:rsidRDefault="0028292E" w:rsidP="00A61B8F">
      <w:pPr>
        <w:pStyle w:val="Akapitzlist"/>
        <w:numPr>
          <w:ilvl w:val="0"/>
          <w:numId w:val="50"/>
        </w:numPr>
        <w:spacing w:before="120" w:after="120" w:line="276" w:lineRule="auto"/>
        <w:ind w:left="284" w:hanging="284"/>
        <w:rPr>
          <w:rFonts w:ascii="Open Sans Light" w:hAnsi="Open Sans Light" w:cs="Open Sans Light"/>
        </w:rPr>
      </w:pPr>
      <w:r w:rsidRPr="009B6008">
        <w:rPr>
          <w:rFonts w:ascii="Open Sans Light" w:hAnsi="Open Sans Light" w:cs="Open Sans Light"/>
        </w:rPr>
        <w:t xml:space="preserve">Koszty pozyskania wartości niematerialnych i prawnych w formie </w:t>
      </w:r>
      <w:r w:rsidRPr="009B6008">
        <w:rPr>
          <w:rFonts w:ascii="Open Sans Light" w:hAnsi="Open Sans Light" w:cs="Open Sans Light"/>
          <w:u w:val="single"/>
        </w:rPr>
        <w:t>amortyzacji</w:t>
      </w:r>
      <w:r w:rsidRPr="009B6008">
        <w:rPr>
          <w:rFonts w:ascii="Open Sans Light" w:hAnsi="Open Sans Light" w:cs="Open Sans Light"/>
        </w:rPr>
        <w:t xml:space="preserve">, </w:t>
      </w:r>
      <w:r w:rsidRPr="009B6008">
        <w:rPr>
          <w:rFonts w:ascii="Open Sans Light" w:hAnsi="Open Sans Light" w:cs="Open Sans Light"/>
          <w:u w:val="single"/>
        </w:rPr>
        <w:t>leasingu</w:t>
      </w:r>
      <w:r w:rsidRPr="009B6008">
        <w:rPr>
          <w:rFonts w:ascii="Open Sans Light" w:hAnsi="Open Sans Light" w:cs="Open Sans Light"/>
        </w:rPr>
        <w:t xml:space="preserve"> lub w inny sposób</w:t>
      </w:r>
      <w:r w:rsidRPr="009B6008">
        <w:rPr>
          <w:rFonts w:ascii="Open Sans Light" w:hAnsi="Open Sans Light" w:cs="Open Sans Light"/>
          <w:b/>
          <w:bCs/>
        </w:rPr>
        <w:t xml:space="preserve"> wymagają uzasadnienia konieczności pozyskania tych środków we Wniosku o dofinansowanie.</w:t>
      </w:r>
    </w:p>
    <w:p w14:paraId="34592E7C" w14:textId="77777777" w:rsidR="00DF3C82" w:rsidRPr="009B6008" w:rsidRDefault="0028292E" w:rsidP="00A61B8F">
      <w:pPr>
        <w:pStyle w:val="Nagwek1"/>
        <w:spacing w:line="276" w:lineRule="auto"/>
      </w:pPr>
      <w:r w:rsidRPr="009B6008">
        <w:rPr>
          <w:rStyle w:val="Nagwek1Znak"/>
          <w:rFonts w:cs="Open Sans Light"/>
          <w:b/>
          <w:lang w:val="pl-PL"/>
        </w:rPr>
        <w:t>Personel projektu</w:t>
      </w:r>
    </w:p>
    <w:p w14:paraId="5C590783" w14:textId="623284E2" w:rsidR="00DF3C82" w:rsidRPr="009B6008" w:rsidRDefault="0028292E" w:rsidP="00A61B8F">
      <w:pPr>
        <w:pStyle w:val="Standard"/>
        <w:spacing w:before="120" w:after="120" w:line="276" w:lineRule="auto"/>
        <w:rPr>
          <w:rFonts w:ascii="Open Sans Light" w:hAnsi="Open Sans Light" w:cs="Open Sans Light"/>
          <w:i/>
        </w:rPr>
      </w:pPr>
      <w:r w:rsidRPr="009B6008">
        <w:rPr>
          <w:rFonts w:ascii="Open Sans Light" w:hAnsi="Open Sans Light" w:cs="Open Sans Light"/>
          <w:i/>
        </w:rPr>
        <w:t xml:space="preserve">kategoria opisana w Wytycznych dotyczących kwalifikowalności wydatków na lata 2021-2027 </w:t>
      </w:r>
      <w:r w:rsidR="00930024" w:rsidRPr="009B6008">
        <w:rPr>
          <w:rFonts w:ascii="Open Sans Light" w:hAnsi="Open Sans Light" w:cs="Open Sans Light"/>
          <w:i/>
        </w:rPr>
        <w:t xml:space="preserve">– poniżej wskazano dodatkowe regulacje, mające zastosowanie w działaniu 1.3 FEnIKS </w:t>
      </w:r>
    </w:p>
    <w:p w14:paraId="5E821CD5" w14:textId="159758AF" w:rsidR="00DF3C82" w:rsidRPr="009B6008" w:rsidRDefault="0028292E" w:rsidP="00A61B8F">
      <w:pPr>
        <w:pStyle w:val="Standard"/>
        <w:numPr>
          <w:ilvl w:val="0"/>
          <w:numId w:val="51"/>
        </w:numPr>
        <w:spacing w:before="120" w:after="120" w:line="276" w:lineRule="auto"/>
        <w:ind w:left="284"/>
        <w:rPr>
          <w:rFonts w:ascii="Open Sans Light" w:hAnsi="Open Sans Light" w:cs="Open Sans Light"/>
        </w:rPr>
      </w:pPr>
      <w:r w:rsidRPr="009B6008">
        <w:rPr>
          <w:rFonts w:ascii="Open Sans Light" w:hAnsi="Open Sans Light" w:cs="Open Sans Light"/>
          <w:iCs/>
        </w:rPr>
        <w:t xml:space="preserve">Kwalifikowanie kosztów personelu jest możliwe jedynie w przypadku realizacji działań „siłami własnymi” np. </w:t>
      </w:r>
      <w:r w:rsidR="00F814E4" w:rsidRPr="009B6008">
        <w:rPr>
          <w:rFonts w:ascii="Open Sans Light" w:hAnsi="Open Sans Light" w:cs="Open Sans Light"/>
          <w:iCs/>
        </w:rPr>
        <w:t xml:space="preserve">opracowanie </w:t>
      </w:r>
      <w:r w:rsidR="00BA1A3C" w:rsidRPr="009B6008">
        <w:rPr>
          <w:rFonts w:ascii="Open Sans Light" w:hAnsi="Open Sans Light" w:cs="Open Sans Light"/>
          <w:iCs/>
        </w:rPr>
        <w:t>dokumentacj</w:t>
      </w:r>
      <w:r w:rsidR="00F814E4" w:rsidRPr="009B6008">
        <w:rPr>
          <w:rFonts w:ascii="Open Sans Light" w:hAnsi="Open Sans Light" w:cs="Open Sans Light"/>
          <w:iCs/>
        </w:rPr>
        <w:t>i</w:t>
      </w:r>
      <w:r w:rsidR="00BA1A3C" w:rsidRPr="009B6008">
        <w:rPr>
          <w:rFonts w:ascii="Open Sans Light" w:hAnsi="Open Sans Light" w:cs="Open Sans Light"/>
          <w:iCs/>
        </w:rPr>
        <w:t xml:space="preserve">, </w:t>
      </w:r>
      <w:r w:rsidR="00F814E4" w:rsidRPr="009B6008">
        <w:rPr>
          <w:rFonts w:ascii="Open Sans Light" w:hAnsi="Open Sans Light" w:cs="Open Sans Light"/>
          <w:iCs/>
        </w:rPr>
        <w:t xml:space="preserve">prowadzenie działań </w:t>
      </w:r>
      <w:r w:rsidRPr="009B6008">
        <w:rPr>
          <w:rFonts w:ascii="Open Sans Light" w:hAnsi="Open Sans Light" w:cs="Open Sans Light"/>
          <w:iCs/>
        </w:rPr>
        <w:t>info</w:t>
      </w:r>
      <w:r w:rsidR="00F814E4" w:rsidRPr="009B6008">
        <w:rPr>
          <w:rFonts w:ascii="Open Sans Light" w:hAnsi="Open Sans Light" w:cs="Open Sans Light"/>
          <w:iCs/>
        </w:rPr>
        <w:t>rmacyjno</w:t>
      </w:r>
      <w:r w:rsidRPr="009B6008">
        <w:rPr>
          <w:rFonts w:ascii="Open Sans Light" w:hAnsi="Open Sans Light" w:cs="Open Sans Light"/>
          <w:iCs/>
        </w:rPr>
        <w:t>-promo</w:t>
      </w:r>
      <w:r w:rsidR="00F814E4" w:rsidRPr="009B6008">
        <w:rPr>
          <w:rFonts w:ascii="Open Sans Light" w:hAnsi="Open Sans Light" w:cs="Open Sans Light"/>
          <w:iCs/>
        </w:rPr>
        <w:t>cyjnych czy</w:t>
      </w:r>
      <w:r w:rsidRPr="009B6008">
        <w:rPr>
          <w:rFonts w:ascii="Open Sans Light" w:hAnsi="Open Sans Light" w:cs="Open Sans Light"/>
          <w:iCs/>
        </w:rPr>
        <w:t xml:space="preserve"> edukacyjnych, </w:t>
      </w:r>
      <w:r w:rsidR="00F814E4" w:rsidRPr="009B6008">
        <w:rPr>
          <w:rFonts w:ascii="Open Sans Light" w:hAnsi="Open Sans Light" w:cs="Open Sans Light"/>
          <w:iCs/>
        </w:rPr>
        <w:t xml:space="preserve">sprawowanie </w:t>
      </w:r>
      <w:r w:rsidRPr="009B6008">
        <w:rPr>
          <w:rFonts w:ascii="Open Sans Light" w:hAnsi="Open Sans Light" w:cs="Open Sans Light"/>
          <w:iCs/>
        </w:rPr>
        <w:t>nadzoru</w:t>
      </w:r>
      <w:r w:rsidR="00F814E4" w:rsidRPr="009B6008">
        <w:rPr>
          <w:rFonts w:ascii="Open Sans Light" w:hAnsi="Open Sans Light" w:cs="Open Sans Light"/>
          <w:iCs/>
        </w:rPr>
        <w:t xml:space="preserve"> inwestorskiego</w:t>
      </w:r>
      <w:r w:rsidRPr="009B6008">
        <w:rPr>
          <w:rFonts w:ascii="Open Sans Light" w:hAnsi="Open Sans Light" w:cs="Open Sans Light"/>
          <w:iCs/>
        </w:rPr>
        <w:t xml:space="preserve"> nad robotami lub wykonywani</w:t>
      </w:r>
      <w:r w:rsidR="00F814E4" w:rsidRPr="009B6008">
        <w:rPr>
          <w:rFonts w:ascii="Open Sans Light" w:hAnsi="Open Sans Light" w:cs="Open Sans Light"/>
          <w:iCs/>
        </w:rPr>
        <w:t>e</w:t>
      </w:r>
      <w:r w:rsidRPr="009B6008">
        <w:rPr>
          <w:rFonts w:ascii="Open Sans Light" w:hAnsi="Open Sans Light" w:cs="Open Sans Light"/>
          <w:iCs/>
        </w:rPr>
        <w:t xml:space="preserve"> robót budowlanych (objętych </w:t>
      </w:r>
      <w:r w:rsidR="00F814E4" w:rsidRPr="009B6008">
        <w:rPr>
          <w:rFonts w:ascii="Open Sans Light" w:hAnsi="Open Sans Light" w:cs="Open Sans Light"/>
          <w:iCs/>
        </w:rPr>
        <w:t xml:space="preserve">Załącznikiem nr 11 do Regulaminu wyboru projektów - </w:t>
      </w:r>
      <w:r w:rsidR="00F03DA1" w:rsidRPr="009B6008">
        <w:rPr>
          <w:rFonts w:ascii="Open Sans Light" w:hAnsi="Open Sans Light" w:cs="Open Sans Light"/>
          <w:iCs/>
        </w:rPr>
        <w:t>K</w:t>
      </w:r>
      <w:r w:rsidRPr="009B6008">
        <w:rPr>
          <w:rFonts w:ascii="Open Sans Light" w:hAnsi="Open Sans Light" w:cs="Open Sans Light"/>
          <w:iCs/>
        </w:rPr>
        <w:t xml:space="preserve">atalog </w:t>
      </w:r>
      <w:r w:rsidR="00F814E4" w:rsidRPr="009B6008">
        <w:rPr>
          <w:rFonts w:ascii="Open Sans Light" w:hAnsi="Open Sans Light" w:cs="Open Sans Light"/>
          <w:iCs/>
        </w:rPr>
        <w:t>k</w:t>
      </w:r>
      <w:r w:rsidRPr="009B6008">
        <w:rPr>
          <w:rFonts w:ascii="Open Sans Light" w:hAnsi="Open Sans Light" w:cs="Open Sans Light"/>
          <w:iCs/>
        </w:rPr>
        <w:t xml:space="preserve">osztów </w:t>
      </w:r>
      <w:r w:rsidR="00F814E4" w:rsidRPr="009B6008">
        <w:rPr>
          <w:rFonts w:ascii="Open Sans Light" w:hAnsi="Open Sans Light" w:cs="Open Sans Light"/>
          <w:iCs/>
        </w:rPr>
        <w:t>b</w:t>
      </w:r>
      <w:r w:rsidRPr="009B6008">
        <w:rPr>
          <w:rFonts w:ascii="Open Sans Light" w:hAnsi="Open Sans Light" w:cs="Open Sans Light"/>
          <w:iCs/>
        </w:rPr>
        <w:t>ezpośrednich)</w:t>
      </w:r>
      <w:r w:rsidR="00F03DA1" w:rsidRPr="009B6008">
        <w:rPr>
          <w:rFonts w:ascii="Open Sans Light" w:hAnsi="Open Sans Light" w:cs="Open Sans Light"/>
          <w:iCs/>
        </w:rPr>
        <w:t>.</w:t>
      </w:r>
    </w:p>
    <w:p w14:paraId="5324CADA" w14:textId="523626F5" w:rsidR="00492774" w:rsidRPr="009B6008" w:rsidRDefault="00492774" w:rsidP="00A61B8F">
      <w:pPr>
        <w:pStyle w:val="Standard"/>
        <w:numPr>
          <w:ilvl w:val="0"/>
          <w:numId w:val="51"/>
        </w:numPr>
        <w:spacing w:before="120" w:after="120" w:line="276" w:lineRule="auto"/>
        <w:ind w:left="284"/>
        <w:rPr>
          <w:rFonts w:ascii="Open Sans Light" w:hAnsi="Open Sans Light" w:cs="Open Sans Light"/>
          <w:iCs/>
        </w:rPr>
      </w:pPr>
      <w:r w:rsidRPr="009B6008">
        <w:rPr>
          <w:rFonts w:ascii="Open Sans Light" w:hAnsi="Open Sans Light" w:cs="Open Sans Light"/>
          <w:iCs/>
        </w:rPr>
        <w:t>W przypadku powyższych działań należy stosować zapisy</w:t>
      </w:r>
      <w:r w:rsidR="0028292E" w:rsidRPr="009B6008">
        <w:rPr>
          <w:rFonts w:ascii="Open Sans Light" w:hAnsi="Open Sans Light" w:cs="Open Sans Light"/>
          <w:iCs/>
        </w:rPr>
        <w:t xml:space="preserve"> rozdz. 3.8 </w:t>
      </w:r>
      <w:r w:rsidRPr="009B6008">
        <w:rPr>
          <w:rFonts w:ascii="Open Sans Light" w:hAnsi="Open Sans Light" w:cs="Open Sans Light"/>
          <w:iCs/>
        </w:rPr>
        <w:t>Wytycznych.</w:t>
      </w:r>
    </w:p>
    <w:p w14:paraId="28278628" w14:textId="5D18162B" w:rsidR="00E506B2" w:rsidRPr="009B6008" w:rsidRDefault="00E506B2" w:rsidP="00A61B8F">
      <w:pPr>
        <w:pStyle w:val="Standard"/>
        <w:spacing w:before="120" w:after="120" w:line="276" w:lineRule="auto"/>
        <w:ind w:firstLine="284"/>
        <w:rPr>
          <w:rFonts w:ascii="Open Sans Light" w:hAnsi="Open Sans Light" w:cs="Open Sans Light"/>
          <w:iCs/>
        </w:rPr>
      </w:pPr>
      <w:r w:rsidRPr="009B6008">
        <w:rPr>
          <w:rFonts w:ascii="Open Sans Light" w:hAnsi="Open Sans Light" w:cs="Open Sans Light"/>
          <w:iCs/>
        </w:rPr>
        <w:t>Dodatkowo, obowiązują następujące zasady:</w:t>
      </w:r>
    </w:p>
    <w:p w14:paraId="5FE967AD" w14:textId="093B1187" w:rsidR="001E2BC4" w:rsidRPr="009B6008" w:rsidRDefault="001E2BC4" w:rsidP="00A61B8F">
      <w:pPr>
        <w:pStyle w:val="Standard"/>
        <w:numPr>
          <w:ilvl w:val="0"/>
          <w:numId w:val="73"/>
        </w:numPr>
        <w:spacing w:before="120" w:after="120" w:line="276" w:lineRule="auto"/>
        <w:ind w:left="567" w:hanging="283"/>
        <w:rPr>
          <w:rFonts w:ascii="Open Sans Light" w:hAnsi="Open Sans Light" w:cs="Open Sans Light"/>
          <w:iCs/>
        </w:rPr>
      </w:pPr>
      <w:r w:rsidRPr="009B6008">
        <w:rPr>
          <w:rFonts w:ascii="Open Sans Light" w:hAnsi="Open Sans Light" w:cs="Open Sans Light"/>
          <w:iCs/>
        </w:rPr>
        <w:lastRenderedPageBreak/>
        <w:t xml:space="preserve">Jedynym dopuszczalnym sposobem </w:t>
      </w:r>
      <w:r w:rsidR="008D6678" w:rsidRPr="009B6008">
        <w:rPr>
          <w:rFonts w:ascii="Open Sans Light" w:hAnsi="Open Sans Light" w:cs="Open Sans Light"/>
          <w:iCs/>
        </w:rPr>
        <w:t>rozliczania kosztów pracy własnych pracowników beneficjenta przy realizacji wymienionych wyżej elementów przedsięwzięcia „siłami własnymi” jest rozliczanie za pomocą kart czasu pracy</w:t>
      </w:r>
      <w:r w:rsidR="00E71053" w:rsidRPr="009B6008">
        <w:rPr>
          <w:rFonts w:ascii="Open Sans Light" w:hAnsi="Open Sans Light" w:cs="Open Sans Light"/>
          <w:iCs/>
        </w:rPr>
        <w:t>;</w:t>
      </w:r>
    </w:p>
    <w:p w14:paraId="5BCB051F" w14:textId="65FC1098" w:rsidR="009A5CD8" w:rsidRPr="009B6008" w:rsidRDefault="00E71053" w:rsidP="00A61B8F">
      <w:pPr>
        <w:pStyle w:val="Standard"/>
        <w:numPr>
          <w:ilvl w:val="0"/>
          <w:numId w:val="73"/>
        </w:numPr>
        <w:spacing w:before="120" w:after="120" w:line="276" w:lineRule="auto"/>
        <w:ind w:left="567" w:hanging="283"/>
        <w:rPr>
          <w:rFonts w:ascii="Open Sans Light" w:hAnsi="Open Sans Light" w:cs="Open Sans Light"/>
          <w:iCs/>
        </w:rPr>
      </w:pPr>
      <w:r w:rsidRPr="009B6008">
        <w:rPr>
          <w:rStyle w:val="Odwoaniedokomentarza"/>
          <w:rFonts w:ascii="Open Sans Light" w:hAnsi="Open Sans Light" w:cs="Open Sans Light"/>
          <w:sz w:val="22"/>
          <w:szCs w:val="22"/>
        </w:rPr>
        <w:t>W</w:t>
      </w:r>
      <w:r w:rsidR="00E506B2" w:rsidRPr="009B6008">
        <w:rPr>
          <w:rStyle w:val="Odwoaniedokomentarza"/>
          <w:rFonts w:ascii="Open Sans Light" w:hAnsi="Open Sans Light" w:cs="Open Sans Light"/>
          <w:sz w:val="22"/>
          <w:szCs w:val="22"/>
        </w:rPr>
        <w:t xml:space="preserve"> </w:t>
      </w:r>
      <w:proofErr w:type="gramStart"/>
      <w:r w:rsidR="005B05D2" w:rsidRPr="009B6008">
        <w:rPr>
          <w:rFonts w:ascii="Open Sans Light" w:hAnsi="Open Sans Light" w:cs="Open Sans Light"/>
        </w:rPr>
        <w:t xml:space="preserve">powyższym </w:t>
      </w:r>
      <w:r w:rsidR="00E97D34" w:rsidRPr="009B6008">
        <w:rPr>
          <w:rFonts w:ascii="Open Sans Light" w:hAnsi="Open Sans Light" w:cs="Open Sans Light"/>
        </w:rPr>
        <w:t xml:space="preserve"> przypadku</w:t>
      </w:r>
      <w:proofErr w:type="gramEnd"/>
      <w:r w:rsidR="00E97D34" w:rsidRPr="009B6008">
        <w:rPr>
          <w:rFonts w:ascii="Open Sans Light" w:hAnsi="Open Sans Light" w:cs="Open Sans Light"/>
        </w:rPr>
        <w:t xml:space="preserve"> </w:t>
      </w:r>
      <w:r w:rsidR="005B05D2" w:rsidRPr="009B6008">
        <w:rPr>
          <w:rFonts w:ascii="Open Sans Light" w:hAnsi="Open Sans Light" w:cs="Open Sans Light"/>
        </w:rPr>
        <w:t xml:space="preserve">w </w:t>
      </w:r>
      <w:r w:rsidR="00E97D34" w:rsidRPr="009B6008">
        <w:rPr>
          <w:rFonts w:ascii="Open Sans Light" w:hAnsi="Open Sans Light" w:cs="Open Sans Light"/>
        </w:rPr>
        <w:t>opis</w:t>
      </w:r>
      <w:r w:rsidR="005B05D2" w:rsidRPr="009B6008">
        <w:rPr>
          <w:rFonts w:ascii="Open Sans Light" w:hAnsi="Open Sans Light" w:cs="Open Sans Light"/>
        </w:rPr>
        <w:t>ie</w:t>
      </w:r>
      <w:r w:rsidR="00E97D34" w:rsidRPr="009B6008">
        <w:rPr>
          <w:rFonts w:ascii="Open Sans Light" w:hAnsi="Open Sans Light" w:cs="Open Sans Light"/>
        </w:rPr>
        <w:t xml:space="preserve"> stanowiska </w:t>
      </w:r>
      <w:r w:rsidR="005B05D2" w:rsidRPr="009B6008">
        <w:rPr>
          <w:rFonts w:ascii="Open Sans Light" w:hAnsi="Open Sans Light" w:cs="Open Sans Light"/>
        </w:rPr>
        <w:t xml:space="preserve">lub w zakresie obowiązków powinien zostać wskazany zakres zadań pracownika związany z projektem (bez konieczności wskazywania </w:t>
      </w:r>
      <w:r w:rsidR="00E97D34" w:rsidRPr="009B6008">
        <w:rPr>
          <w:rFonts w:ascii="Open Sans Light" w:hAnsi="Open Sans Light" w:cs="Open Sans Light"/>
        </w:rPr>
        <w:t>informacji na temat proporcji, w jakiej pracownik poświęca swój czas na działania związane z realizacją przedsięwzięcia w odniesieniu do pozostałych zadań</w:t>
      </w:r>
      <w:r w:rsidR="005B05D2" w:rsidRPr="009B6008">
        <w:rPr>
          <w:rFonts w:ascii="Open Sans Light" w:hAnsi="Open Sans Light" w:cs="Open Sans Light"/>
        </w:rPr>
        <w:t>)</w:t>
      </w:r>
      <w:r w:rsidRPr="009B6008">
        <w:rPr>
          <w:rFonts w:ascii="Open Sans Light" w:hAnsi="Open Sans Light" w:cs="Open Sans Light"/>
        </w:rPr>
        <w:t>;</w:t>
      </w:r>
      <w:r w:rsidR="00E97D34" w:rsidRPr="009B6008">
        <w:rPr>
          <w:rFonts w:ascii="Open Sans Light" w:hAnsi="Open Sans Light" w:cs="Open Sans Light"/>
        </w:rPr>
        <w:t xml:space="preserve"> </w:t>
      </w:r>
    </w:p>
    <w:p w14:paraId="6A499687" w14:textId="12158D9C" w:rsidR="00DF3C82" w:rsidRPr="00A61B8F" w:rsidRDefault="00E71053" w:rsidP="00A61B8F">
      <w:pPr>
        <w:pStyle w:val="Standard"/>
        <w:numPr>
          <w:ilvl w:val="0"/>
          <w:numId w:val="73"/>
        </w:numPr>
        <w:spacing w:line="276" w:lineRule="auto"/>
        <w:ind w:left="567" w:hanging="283"/>
        <w:rPr>
          <w:rFonts w:ascii="Open Sans Light" w:hAnsi="Open Sans Light" w:cs="Open Sans Light"/>
        </w:rPr>
      </w:pPr>
      <w:r w:rsidRPr="009B6008">
        <w:rPr>
          <w:rFonts w:ascii="Open Sans Light" w:hAnsi="Open Sans Light" w:cs="Open Sans Light"/>
        </w:rPr>
        <w:t>W</w:t>
      </w:r>
      <w:r w:rsidR="009A5CD8" w:rsidRPr="009B6008">
        <w:rPr>
          <w:rFonts w:ascii="Open Sans Light" w:hAnsi="Open Sans Light" w:cs="Open Sans Light"/>
        </w:rPr>
        <w:t>ydatki poniesione na dodatkowe wynagrodzenie roczne (np. na tzw. trzynastą pensję), wydatki poniesione na nagrody</w:t>
      </w:r>
      <w:r w:rsidR="001A27A3" w:rsidRPr="009B6008">
        <w:rPr>
          <w:rFonts w:ascii="Open Sans Light" w:hAnsi="Open Sans Light" w:cs="Open Sans Light"/>
        </w:rPr>
        <w:t>, dodatki do wynagrodzenia</w:t>
      </w:r>
      <w:r w:rsidR="009A5CD8" w:rsidRPr="009B6008">
        <w:rPr>
          <w:rFonts w:ascii="Open Sans Light" w:hAnsi="Open Sans Light" w:cs="Open Sans Light"/>
        </w:rPr>
        <w:t xml:space="preserve"> i premie, a także koszty związane z urlopem pracowników, nie mogą być uznane za kwalifikowalne.</w:t>
      </w:r>
    </w:p>
    <w:p w14:paraId="1B0B8E6A" w14:textId="77777777" w:rsidR="00787B5D" w:rsidRPr="009B6008" w:rsidRDefault="00787B5D" w:rsidP="00A61B8F">
      <w:pPr>
        <w:pStyle w:val="Nagwek1"/>
        <w:spacing w:line="276" w:lineRule="auto"/>
      </w:pPr>
      <w:r w:rsidRPr="009B6008">
        <w:rPr>
          <w:rStyle w:val="Nagwek1Znak"/>
          <w:rFonts w:cs="Open Sans Light"/>
          <w:b/>
          <w:lang w:val="pl-PL"/>
        </w:rPr>
        <w:t>Podatki i opłaty</w:t>
      </w:r>
    </w:p>
    <w:p w14:paraId="25633DD2" w14:textId="5CD896EF" w:rsidR="00787B5D" w:rsidRPr="009B6008" w:rsidRDefault="00787B5D" w:rsidP="00A61B8F">
      <w:pPr>
        <w:pStyle w:val="Standard"/>
        <w:spacing w:before="120" w:after="120" w:line="276" w:lineRule="auto"/>
        <w:rPr>
          <w:rFonts w:ascii="Open Sans Light" w:hAnsi="Open Sans Light" w:cs="Open Sans Light"/>
        </w:rPr>
      </w:pPr>
      <w:r w:rsidRPr="009B6008">
        <w:rPr>
          <w:rFonts w:ascii="Open Sans Light" w:hAnsi="Open Sans Light" w:cs="Open Sans Light"/>
          <w:i/>
        </w:rPr>
        <w:t>kategoria opisana w Wytycznych dotyczących kwalifikowalności wydatków na lata 2021-2027</w:t>
      </w:r>
      <w:r w:rsidR="00930024" w:rsidRPr="009B6008">
        <w:rPr>
          <w:rFonts w:ascii="Open Sans Light" w:hAnsi="Open Sans Light" w:cs="Open Sans Light"/>
          <w:i/>
        </w:rPr>
        <w:t xml:space="preserve"> – poniżej wskazano dodatkowe regulacje, mające zastosowanie w działaniu 1.3 FEnIKS</w:t>
      </w:r>
    </w:p>
    <w:p w14:paraId="6B475570" w14:textId="77777777" w:rsidR="00787B5D" w:rsidRPr="009B6008" w:rsidRDefault="00787B5D" w:rsidP="00A61B8F">
      <w:pPr>
        <w:pStyle w:val="Standard"/>
        <w:numPr>
          <w:ilvl w:val="0"/>
          <w:numId w:val="41"/>
        </w:numPr>
        <w:spacing w:before="120" w:after="120" w:line="276" w:lineRule="auto"/>
        <w:ind w:left="284" w:hanging="284"/>
        <w:rPr>
          <w:rFonts w:ascii="Open Sans Light" w:hAnsi="Open Sans Light" w:cs="Open Sans Light"/>
        </w:rPr>
      </w:pPr>
      <w:r w:rsidRPr="009B6008">
        <w:rPr>
          <w:rFonts w:ascii="Open Sans Light" w:hAnsi="Open Sans Light" w:cs="Open Sans Light"/>
        </w:rPr>
        <w:t xml:space="preserve">Zgodnie ze </w:t>
      </w:r>
      <w:r w:rsidRPr="009B6008">
        <w:rPr>
          <w:rFonts w:ascii="Open Sans Light" w:hAnsi="Open Sans Light" w:cs="Open Sans Light"/>
          <w:i/>
          <w:iCs/>
        </w:rPr>
        <w:t>Szczegółowym Opisem Priorytetów Programu Fundusze Europejskie na Infrastrukturę, Klimat, Środowisko 2021-2027</w:t>
      </w:r>
      <w:r w:rsidRPr="009B6008">
        <w:rPr>
          <w:rFonts w:ascii="Open Sans Light" w:hAnsi="Open Sans Light" w:cs="Open Sans Light"/>
        </w:rPr>
        <w:t>, podatek VAT stanowi w całości wydatek niekwalifikowalny w ramach działania FENX.01.03 Gospodarka wodno-ściekowa.</w:t>
      </w:r>
    </w:p>
    <w:p w14:paraId="2AA593B6" w14:textId="77777777" w:rsidR="00787B5D" w:rsidRPr="009B6008" w:rsidRDefault="00787B5D" w:rsidP="00A61B8F">
      <w:pPr>
        <w:pStyle w:val="Standard"/>
        <w:numPr>
          <w:ilvl w:val="0"/>
          <w:numId w:val="41"/>
        </w:numPr>
        <w:spacing w:before="120" w:after="120" w:line="276" w:lineRule="auto"/>
        <w:ind w:left="284" w:hanging="284"/>
        <w:rPr>
          <w:rFonts w:ascii="Open Sans Light" w:hAnsi="Open Sans Light" w:cs="Open Sans Light"/>
        </w:rPr>
      </w:pPr>
      <w:r w:rsidRPr="009B6008">
        <w:rPr>
          <w:rFonts w:ascii="Open Sans Light" w:hAnsi="Open Sans Light" w:cs="Open Sans Light"/>
        </w:rPr>
        <w:t>Koszty ponoszone za usunięcie drzew lub krzewów mogą być kwalifikowane, jeżeli zostały poniesione zgodnie z ustawą o ochronie przyrody, tj.:</w:t>
      </w:r>
    </w:p>
    <w:p w14:paraId="2D2087DB" w14:textId="77777777" w:rsidR="00787B5D" w:rsidRPr="009B6008" w:rsidRDefault="00787B5D" w:rsidP="00A61B8F">
      <w:pPr>
        <w:pStyle w:val="Standard"/>
        <w:numPr>
          <w:ilvl w:val="0"/>
          <w:numId w:val="42"/>
        </w:numPr>
        <w:spacing w:before="120" w:after="120" w:line="276" w:lineRule="auto"/>
        <w:ind w:left="567" w:hanging="283"/>
        <w:rPr>
          <w:rFonts w:ascii="Open Sans Light" w:hAnsi="Open Sans Light" w:cs="Open Sans Light"/>
        </w:rPr>
      </w:pPr>
      <w:r w:rsidRPr="009B6008">
        <w:rPr>
          <w:rFonts w:ascii="Open Sans Light" w:hAnsi="Open Sans Light" w:cs="Open Sans Light"/>
        </w:rPr>
        <w:t>Usunięcie drzewa lub krzewu z terenu nieruchomości lub jej części może nastąpić po uzyskaniu zezwolenia wydanego na wniosek posiadacza nieruchomości za zgodą właściciela tej nieruchomości;</w:t>
      </w:r>
    </w:p>
    <w:p w14:paraId="5408B51F" w14:textId="77777777" w:rsidR="00787B5D" w:rsidRPr="009B6008" w:rsidRDefault="00787B5D" w:rsidP="00A61B8F">
      <w:pPr>
        <w:pStyle w:val="Standard"/>
        <w:numPr>
          <w:ilvl w:val="0"/>
          <w:numId w:val="42"/>
        </w:numPr>
        <w:spacing w:before="120" w:after="120" w:line="276" w:lineRule="auto"/>
        <w:ind w:left="567" w:hanging="283"/>
        <w:rPr>
          <w:rFonts w:ascii="Open Sans Light" w:hAnsi="Open Sans Light" w:cs="Open Sans Light"/>
        </w:rPr>
      </w:pPr>
      <w:r w:rsidRPr="009B6008">
        <w:rPr>
          <w:rFonts w:ascii="Open Sans Light" w:hAnsi="Open Sans Light" w:cs="Open Sans Light"/>
        </w:rPr>
        <w:t xml:space="preserve">Zezwolenie na usunięcie drzewa lub krzewu z terenu nieruchomości wydaje wójt, burmistrz albo prezydent miasta, a w </w:t>
      </w:r>
      <w:proofErr w:type="gramStart"/>
      <w:r w:rsidRPr="009B6008">
        <w:rPr>
          <w:rFonts w:ascii="Open Sans Light" w:hAnsi="Open Sans Light" w:cs="Open Sans Light"/>
        </w:rPr>
        <w:t>przypadku</w:t>
      </w:r>
      <w:proofErr w:type="gramEnd"/>
      <w:r w:rsidRPr="009B6008">
        <w:rPr>
          <w:rFonts w:ascii="Open Sans Light" w:hAnsi="Open Sans Light" w:cs="Open Sans Light"/>
        </w:rPr>
        <w:t xml:space="preserve"> gdy zezwolenie dotyczy usunięcia drzewa lub krzewu z terenu nieruchomości lub jej części wpisanej do rejestru zabytków – wojewódzki konserwator zabytków;</w:t>
      </w:r>
    </w:p>
    <w:p w14:paraId="6D195AEC" w14:textId="77777777" w:rsidR="00787B5D" w:rsidRPr="009B6008" w:rsidRDefault="00787B5D" w:rsidP="00A61B8F">
      <w:pPr>
        <w:pStyle w:val="Standard"/>
        <w:numPr>
          <w:ilvl w:val="0"/>
          <w:numId w:val="42"/>
        </w:numPr>
        <w:spacing w:before="120" w:after="120" w:line="276" w:lineRule="auto"/>
        <w:ind w:left="567" w:hanging="283"/>
        <w:rPr>
          <w:rFonts w:ascii="Open Sans Light" w:hAnsi="Open Sans Light" w:cs="Open Sans Light"/>
        </w:rPr>
      </w:pPr>
      <w:r w:rsidRPr="009B6008">
        <w:rPr>
          <w:rFonts w:ascii="Open Sans Light" w:hAnsi="Open Sans Light" w:cs="Open Sans Light"/>
        </w:rPr>
        <w:t>Posiadacz nieruchomości ponosi opłaty za usunięcie drzewa lub krzewu. Opłaty nalicza są w zezwoleniu na usunięcie drzewa lub krzewu i pobierane przez organ właściwy do wydania tego zezwolenia.</w:t>
      </w:r>
    </w:p>
    <w:p w14:paraId="00C208D3" w14:textId="77777777" w:rsidR="00787B5D" w:rsidRPr="009B6008" w:rsidRDefault="00787B5D" w:rsidP="00A61B8F">
      <w:pPr>
        <w:pStyle w:val="Standard"/>
        <w:numPr>
          <w:ilvl w:val="0"/>
          <w:numId w:val="41"/>
        </w:numPr>
        <w:spacing w:before="120" w:after="120" w:line="276" w:lineRule="auto"/>
        <w:ind w:left="284" w:hanging="284"/>
        <w:rPr>
          <w:rFonts w:ascii="Open Sans Light" w:hAnsi="Open Sans Light" w:cs="Open Sans Light"/>
        </w:rPr>
      </w:pPr>
      <w:r w:rsidRPr="009B6008">
        <w:rPr>
          <w:rFonts w:ascii="Open Sans Light" w:hAnsi="Open Sans Light" w:cs="Open Sans Light"/>
        </w:rPr>
        <w:t xml:space="preserve">Koszty ponoszone na </w:t>
      </w:r>
      <w:r w:rsidRPr="009B6008">
        <w:rPr>
          <w:rFonts w:ascii="Open Sans Light" w:hAnsi="Open Sans Light" w:cs="Open Sans Light"/>
          <w:bCs/>
        </w:rPr>
        <w:t>opłaty za zajęcie pasa drogowego</w:t>
      </w:r>
      <w:r w:rsidRPr="009B6008">
        <w:rPr>
          <w:rFonts w:ascii="Open Sans Light" w:hAnsi="Open Sans Light" w:cs="Open Sans Light"/>
        </w:rPr>
        <w:t xml:space="preserve"> mogą być kwalifikowane, jeżeli zostały poniesione zgodnie z ustawą o drogach publicznych,</w:t>
      </w:r>
      <w:r w:rsidRPr="009B6008">
        <w:rPr>
          <w:rFonts w:ascii="Open Sans Light" w:hAnsi="Open Sans Light" w:cs="Open Sans Light"/>
          <w:color w:val="FF0000"/>
        </w:rPr>
        <w:t xml:space="preserve"> </w:t>
      </w:r>
      <w:r w:rsidRPr="009B6008">
        <w:rPr>
          <w:rFonts w:ascii="Open Sans Light" w:hAnsi="Open Sans Light" w:cs="Open Sans Light"/>
        </w:rPr>
        <w:t>tj.:</w:t>
      </w:r>
    </w:p>
    <w:p w14:paraId="2ED92826" w14:textId="77777777" w:rsidR="00787B5D" w:rsidRPr="009B6008" w:rsidRDefault="00787B5D" w:rsidP="00A61B8F">
      <w:pPr>
        <w:pStyle w:val="Standard"/>
        <w:numPr>
          <w:ilvl w:val="0"/>
          <w:numId w:val="43"/>
        </w:numPr>
        <w:spacing w:before="120" w:after="120" w:line="276" w:lineRule="auto"/>
        <w:rPr>
          <w:rFonts w:ascii="Open Sans Light" w:hAnsi="Open Sans Light" w:cs="Open Sans Light"/>
        </w:rPr>
      </w:pPr>
      <w:r w:rsidRPr="009B6008">
        <w:rPr>
          <w:rFonts w:ascii="Open Sans Light" w:hAnsi="Open Sans Light" w:cs="Open Sans Light"/>
        </w:rPr>
        <w:t>Za zajęcie pasa drogowego pobiera się opłatę;</w:t>
      </w:r>
    </w:p>
    <w:p w14:paraId="5BE5F4B3" w14:textId="77777777" w:rsidR="00787B5D" w:rsidRPr="009B6008" w:rsidRDefault="00787B5D" w:rsidP="00A61B8F">
      <w:pPr>
        <w:pStyle w:val="Standard"/>
        <w:numPr>
          <w:ilvl w:val="0"/>
          <w:numId w:val="43"/>
        </w:numPr>
        <w:spacing w:before="120" w:after="120" w:line="276" w:lineRule="auto"/>
        <w:rPr>
          <w:rFonts w:ascii="Open Sans Light" w:hAnsi="Open Sans Light" w:cs="Open Sans Light"/>
        </w:rPr>
      </w:pPr>
      <w:r w:rsidRPr="009B6008">
        <w:rPr>
          <w:rFonts w:ascii="Open Sans Light" w:hAnsi="Open Sans Light" w:cs="Open Sans Light"/>
        </w:rPr>
        <w:t>Opłatę nalicza i pobiera (w drodze decyzji administracyjnej) właściwy zarządca drogi przy udzielaniu zezwolenia na zajęcie pasa drogowego. Zgodnie z ustawą o drogach publicznych, drogi krajowe stanowią własność Skarbu Państwa, natomiast drogi wojewódzkie, powiatowe i gminne stanowią własność właściwego samorządu województwa, powiatu lub gminy.</w:t>
      </w:r>
    </w:p>
    <w:p w14:paraId="1FE95387" w14:textId="77777777" w:rsidR="00787B5D" w:rsidRPr="009B6008" w:rsidRDefault="00787B5D" w:rsidP="00A61B8F">
      <w:pPr>
        <w:pStyle w:val="Standard"/>
        <w:numPr>
          <w:ilvl w:val="0"/>
          <w:numId w:val="41"/>
        </w:numPr>
        <w:spacing w:before="120" w:after="120" w:line="276" w:lineRule="auto"/>
        <w:ind w:left="284" w:hanging="284"/>
        <w:rPr>
          <w:rFonts w:ascii="Open Sans Light" w:hAnsi="Open Sans Light" w:cs="Open Sans Light"/>
          <w:bCs/>
        </w:rPr>
      </w:pPr>
      <w:r w:rsidRPr="009B6008">
        <w:rPr>
          <w:rFonts w:ascii="Open Sans Light" w:hAnsi="Open Sans Light" w:cs="Open Sans Light"/>
          <w:bCs/>
        </w:rPr>
        <w:lastRenderedPageBreak/>
        <w:t>Mając na uwadze powyższe regulacje, identyfikuje się 3 warianty weryfikacji kwalifikowalności ww. wydatku:</w:t>
      </w:r>
    </w:p>
    <w:p w14:paraId="553631C4" w14:textId="77777777" w:rsidR="00787B5D" w:rsidRPr="009B6008" w:rsidRDefault="00787B5D" w:rsidP="00A61B8F">
      <w:pPr>
        <w:pStyle w:val="Text1"/>
        <w:numPr>
          <w:ilvl w:val="0"/>
          <w:numId w:val="44"/>
        </w:numPr>
        <w:spacing w:line="276" w:lineRule="auto"/>
        <w:ind w:left="567" w:hanging="283"/>
        <w:jc w:val="left"/>
        <w:rPr>
          <w:rFonts w:ascii="Open Sans Light" w:hAnsi="Open Sans Light" w:cs="Open Sans Light"/>
          <w:lang w:val="pl-PL"/>
        </w:rPr>
      </w:pPr>
      <w:r w:rsidRPr="009B6008">
        <w:rPr>
          <w:rFonts w:ascii="Open Sans Light" w:hAnsi="Open Sans Light" w:cs="Open Sans Light"/>
          <w:sz w:val="22"/>
          <w:szCs w:val="22"/>
          <w:lang w:val="pl-PL"/>
        </w:rPr>
        <w:t xml:space="preserve">Gmina, na </w:t>
      </w:r>
      <w:r w:rsidRPr="009B6008">
        <w:rPr>
          <w:rFonts w:ascii="Open Sans Light" w:hAnsi="Open Sans Light" w:cs="Open Sans Light"/>
          <w:sz w:val="22"/>
          <w:lang w:val="pl-PL"/>
        </w:rPr>
        <w:t>rzecz</w:t>
      </w:r>
      <w:r w:rsidRPr="009B6008">
        <w:rPr>
          <w:rFonts w:ascii="Open Sans Light" w:hAnsi="Open Sans Light" w:cs="Open Sans Light"/>
          <w:sz w:val="22"/>
          <w:szCs w:val="22"/>
          <w:lang w:val="pl-PL"/>
        </w:rPr>
        <w:t xml:space="preserve"> której będą wnoszone opłaty w związku z realizacją projektu w ramach </w:t>
      </w:r>
      <w:proofErr w:type="spellStart"/>
      <w:r w:rsidRPr="009B6008">
        <w:rPr>
          <w:rFonts w:ascii="Open Sans Light" w:hAnsi="Open Sans Light" w:cs="Open Sans Light"/>
          <w:sz w:val="22"/>
          <w:szCs w:val="22"/>
          <w:lang w:val="pl-PL"/>
        </w:rPr>
        <w:t>POIiŚ</w:t>
      </w:r>
      <w:proofErr w:type="spellEnd"/>
      <w:r w:rsidRPr="009B6008">
        <w:rPr>
          <w:rFonts w:ascii="Open Sans Light" w:hAnsi="Open Sans Light" w:cs="Open Sans Light"/>
          <w:sz w:val="22"/>
          <w:szCs w:val="22"/>
          <w:lang w:val="pl-PL"/>
        </w:rPr>
        <w:t xml:space="preserve"> jest jednocześnie beneficjentem w ramach tegoż projektu – w tym wypadku opłata nie została rzeczywiście i ostatecznie poniesiona przez beneficjenta. </w:t>
      </w:r>
      <w:r w:rsidRPr="009B6008">
        <w:rPr>
          <w:rFonts w:ascii="Open Sans Light" w:hAnsi="Open Sans Light" w:cs="Open Sans Light"/>
          <w:sz w:val="22"/>
          <w:szCs w:val="22"/>
          <w:u w:val="single"/>
          <w:lang w:val="pl-PL"/>
        </w:rPr>
        <w:t>W związku z powyższym wydatek ten nie może być uznany za wydatek kwalifikowalny;</w:t>
      </w:r>
    </w:p>
    <w:p w14:paraId="1B20103C" w14:textId="77777777" w:rsidR="00787B5D" w:rsidRPr="009B6008" w:rsidRDefault="00787B5D" w:rsidP="00A61B8F">
      <w:pPr>
        <w:pStyle w:val="Text1"/>
        <w:numPr>
          <w:ilvl w:val="0"/>
          <w:numId w:val="44"/>
        </w:numPr>
        <w:spacing w:line="276" w:lineRule="auto"/>
        <w:ind w:left="567" w:hanging="283"/>
        <w:jc w:val="left"/>
        <w:rPr>
          <w:rFonts w:ascii="Open Sans Light" w:hAnsi="Open Sans Light" w:cs="Open Sans Light"/>
          <w:lang w:val="pl-PL"/>
        </w:rPr>
      </w:pPr>
      <w:r w:rsidRPr="009B6008">
        <w:rPr>
          <w:rFonts w:ascii="Open Sans Light" w:hAnsi="Open Sans Light" w:cs="Open Sans Light"/>
          <w:sz w:val="22"/>
          <w:szCs w:val="22"/>
          <w:lang w:val="pl-PL"/>
        </w:rPr>
        <w:t xml:space="preserve">Beneficjent ponosi opłaty na rzecz innego podmiotu (gminy) – w takim przypadku można uznać, iż wydatki te zostały rzeczywiście i ostatecznie poniesione przez beneficjenta i w konsekwencji </w:t>
      </w:r>
      <w:r w:rsidRPr="009B6008">
        <w:rPr>
          <w:rFonts w:ascii="Open Sans Light" w:hAnsi="Open Sans Light" w:cs="Open Sans Light"/>
          <w:sz w:val="22"/>
          <w:szCs w:val="22"/>
          <w:u w:val="single"/>
          <w:lang w:val="pl-PL"/>
        </w:rPr>
        <w:t>mogą zostać zaliczone do wydatków kwalifikowalnych; dotyczy to również sytuacji, w której spółka komunalna ponosi wydatki na rzecz gminy, do której należy spółka komunalna, jeżeli spółka jest beneficjentem projektu, a gmina nie jest zaangażowana finansowo w realizację projektu;</w:t>
      </w:r>
    </w:p>
    <w:p w14:paraId="381B9415" w14:textId="77777777" w:rsidR="00787B5D" w:rsidRPr="009B6008" w:rsidRDefault="00787B5D" w:rsidP="00A61B8F">
      <w:pPr>
        <w:pStyle w:val="Akapitzlist"/>
        <w:numPr>
          <w:ilvl w:val="0"/>
          <w:numId w:val="44"/>
        </w:numPr>
        <w:spacing w:before="120" w:after="120" w:line="276" w:lineRule="auto"/>
        <w:ind w:left="567" w:hanging="283"/>
        <w:rPr>
          <w:rFonts w:ascii="Open Sans Light" w:hAnsi="Open Sans Light" w:cs="Open Sans Light"/>
        </w:rPr>
      </w:pPr>
      <w:r w:rsidRPr="009B6008">
        <w:rPr>
          <w:rFonts w:ascii="Open Sans Light" w:hAnsi="Open Sans Light" w:cs="Open Sans Light"/>
        </w:rPr>
        <w:t xml:space="preserve">Beneficjent ponosi opłaty na rzecz innego podmiotu (np. gminy), który został wskazany w umowie o dofinansowanie jako podmiot uprawniony do ponoszenia wydatków kwalifikowalnych (lub podmiot uprawniony do ponoszenia wydatków kwalifikowalnych ponosi opłaty na rzecz beneficjenta) – </w:t>
      </w:r>
      <w:proofErr w:type="gramStart"/>
      <w:r w:rsidRPr="009B6008">
        <w:rPr>
          <w:rFonts w:ascii="Open Sans Light" w:hAnsi="Open Sans Light" w:cs="Open Sans Light"/>
        </w:rPr>
        <w:t xml:space="preserve">w </w:t>
      </w:r>
      <w:r w:rsidRPr="009B6008">
        <w:rPr>
          <w:rFonts w:ascii="Open Sans Light" w:hAnsi="Open Sans Light" w:cs="Open Sans Light"/>
          <w:u w:val="single"/>
        </w:rPr>
        <w:t xml:space="preserve"> takim</w:t>
      </w:r>
      <w:proofErr w:type="gramEnd"/>
      <w:r w:rsidRPr="009B6008">
        <w:rPr>
          <w:rFonts w:ascii="Open Sans Light" w:hAnsi="Open Sans Light" w:cs="Open Sans Light"/>
          <w:u w:val="single"/>
        </w:rPr>
        <w:t xml:space="preserve"> przypadku, przedmiotowy wydatek nie będzie mógł być uznany za kwalifikowalny.</w:t>
      </w:r>
    </w:p>
    <w:p w14:paraId="150CABA5" w14:textId="77777777" w:rsidR="00787B5D" w:rsidRPr="009B6008" w:rsidRDefault="00787B5D" w:rsidP="00A61B8F">
      <w:pPr>
        <w:pStyle w:val="Akapitzlist"/>
        <w:numPr>
          <w:ilvl w:val="0"/>
          <w:numId w:val="41"/>
        </w:numPr>
        <w:spacing w:before="120" w:after="120" w:line="276" w:lineRule="auto"/>
        <w:ind w:left="284" w:hanging="284"/>
        <w:rPr>
          <w:rFonts w:ascii="Open Sans Light" w:hAnsi="Open Sans Light" w:cs="Open Sans Light"/>
        </w:rPr>
      </w:pPr>
      <w:r w:rsidRPr="009B6008">
        <w:rPr>
          <w:rFonts w:ascii="Open Sans Light" w:hAnsi="Open Sans Light" w:cs="Open Sans Light"/>
        </w:rPr>
        <w:t>Opłaty za umieszczenie urządzeń w pasie drogowym nie będą kwalifikowane, o ile należą do kosztów operacyjnych, tj. ponoszonych po przekazaniu inwestycji do użytkowania.</w:t>
      </w:r>
    </w:p>
    <w:p w14:paraId="668E973B" w14:textId="77777777" w:rsidR="00787B5D" w:rsidRPr="00A61B8F" w:rsidRDefault="00787B5D" w:rsidP="00A61B8F">
      <w:pPr>
        <w:pStyle w:val="Textbody"/>
        <w:spacing w:line="276" w:lineRule="auto"/>
        <w:rPr>
          <w:rFonts w:ascii="Open Sans Light" w:hAnsi="Open Sans Light" w:cs="Open Sans Light"/>
        </w:rPr>
      </w:pPr>
    </w:p>
    <w:p w14:paraId="091FD54C" w14:textId="21924311" w:rsidR="003C6181" w:rsidRPr="009B6008" w:rsidRDefault="003C6181" w:rsidP="00A61B8F">
      <w:pPr>
        <w:pStyle w:val="Nagwek1"/>
        <w:spacing w:line="276" w:lineRule="auto"/>
      </w:pPr>
      <w:r w:rsidRPr="009B6008">
        <w:rPr>
          <w:rStyle w:val="Nagwek1Znak"/>
          <w:rFonts w:cs="Open Sans Light"/>
          <w:b/>
          <w:lang w:val="pl-PL"/>
        </w:rPr>
        <w:t>Koszty pośrednie</w:t>
      </w:r>
    </w:p>
    <w:p w14:paraId="254671F1" w14:textId="0323A651" w:rsidR="003C6181" w:rsidRPr="009B6008" w:rsidRDefault="003C6181" w:rsidP="00A61B8F">
      <w:pPr>
        <w:pStyle w:val="Standard"/>
        <w:spacing w:before="120" w:after="120" w:line="276" w:lineRule="auto"/>
        <w:rPr>
          <w:rFonts w:ascii="Open Sans Light" w:hAnsi="Open Sans Light" w:cs="Open Sans Light"/>
          <w:i/>
        </w:rPr>
      </w:pPr>
      <w:r w:rsidRPr="009B6008">
        <w:rPr>
          <w:rFonts w:ascii="Open Sans Light" w:hAnsi="Open Sans Light" w:cs="Open Sans Light"/>
          <w:i/>
        </w:rPr>
        <w:t>kategoria opisana w Wytycznych dotyczących kwalifikowalności wydatków na lata 2021-2027</w:t>
      </w:r>
      <w:r w:rsidR="00930024" w:rsidRPr="009B6008">
        <w:rPr>
          <w:rFonts w:ascii="Open Sans Light" w:hAnsi="Open Sans Light" w:cs="Open Sans Light"/>
          <w:i/>
        </w:rPr>
        <w:t xml:space="preserve"> – poniżej wskazano dodatkowe regulacje, mające zastosowanie w działaniu 1.3 FEnIKS</w:t>
      </w:r>
    </w:p>
    <w:p w14:paraId="2589A4A6" w14:textId="211EFCFF" w:rsidR="003C6181" w:rsidRPr="009B6008" w:rsidRDefault="0020081D" w:rsidP="00A61B8F">
      <w:pPr>
        <w:pStyle w:val="Nagwek"/>
        <w:spacing w:after="360" w:line="276" w:lineRule="auto"/>
        <w:rPr>
          <w:rFonts w:ascii="Open Sans Light" w:hAnsi="Open Sans Light" w:cs="Open Sans Light"/>
          <w:i/>
          <w:iCs/>
        </w:rPr>
      </w:pPr>
      <w:r w:rsidRPr="009B6008">
        <w:rPr>
          <w:rFonts w:ascii="Open Sans Light" w:hAnsi="Open Sans Light" w:cs="Open Sans Light"/>
          <w:i/>
          <w:iCs/>
        </w:rPr>
        <w:t xml:space="preserve">Wszystkie </w:t>
      </w:r>
      <w:proofErr w:type="gramStart"/>
      <w:r w:rsidR="003C6181" w:rsidRPr="009B6008">
        <w:rPr>
          <w:rFonts w:ascii="Open Sans Light" w:hAnsi="Open Sans Light" w:cs="Open Sans Light"/>
          <w:i/>
          <w:iCs/>
        </w:rPr>
        <w:t xml:space="preserve">koszty, </w:t>
      </w:r>
      <w:r w:rsidRPr="009B6008">
        <w:rPr>
          <w:rFonts w:ascii="Open Sans Light" w:hAnsi="Open Sans Light" w:cs="Open Sans Light"/>
          <w:i/>
          <w:iCs/>
        </w:rPr>
        <w:t xml:space="preserve"> których</w:t>
      </w:r>
      <w:proofErr w:type="gramEnd"/>
      <w:r w:rsidRPr="009B6008">
        <w:rPr>
          <w:rFonts w:ascii="Open Sans Light" w:hAnsi="Open Sans Light" w:cs="Open Sans Light"/>
          <w:i/>
          <w:iCs/>
        </w:rPr>
        <w:t xml:space="preserve"> nie można bezpośrednio przypisać do głównego celu projektu</w:t>
      </w:r>
      <w:r w:rsidR="00F64E70" w:rsidRPr="009B6008">
        <w:rPr>
          <w:rFonts w:ascii="Open Sans Light" w:hAnsi="Open Sans Light" w:cs="Open Sans Light"/>
          <w:i/>
          <w:iCs/>
        </w:rPr>
        <w:t xml:space="preserve"> i nie są objęte</w:t>
      </w:r>
      <w:r w:rsidR="00F64E70" w:rsidRPr="009B6008">
        <w:rPr>
          <w:rFonts w:ascii="Open Sans Light" w:hAnsi="Open Sans Light" w:cs="Open Sans Light"/>
          <w:b/>
          <w:bCs/>
          <w:i/>
          <w:color w:val="0F4761"/>
          <w:sz w:val="40"/>
          <w:szCs w:val="40"/>
        </w:rPr>
        <w:t xml:space="preserve"> </w:t>
      </w:r>
      <w:r w:rsidR="00F64E70" w:rsidRPr="009B6008">
        <w:rPr>
          <w:rFonts w:ascii="Open Sans Light" w:hAnsi="Open Sans Light" w:cs="Open Sans Light"/>
          <w:i/>
          <w:iCs/>
        </w:rPr>
        <w:t>Załącznikiem nr 11 do Regulaminu wyboru projektów - Katalog kosztów bezpośrednich, a</w:t>
      </w:r>
      <w:r w:rsidR="00E71053" w:rsidRPr="009B6008">
        <w:rPr>
          <w:rFonts w:ascii="Open Sans Light" w:hAnsi="Open Sans Light" w:cs="Open Sans Light"/>
          <w:i/>
          <w:iCs/>
        </w:rPr>
        <w:t> </w:t>
      </w:r>
      <w:r w:rsidRPr="009B6008">
        <w:rPr>
          <w:rFonts w:ascii="Open Sans Light" w:hAnsi="Open Sans Light" w:cs="Open Sans Light"/>
          <w:i/>
          <w:iCs/>
        </w:rPr>
        <w:t xml:space="preserve">w szczególności koszty administracyjne związane z obsługą projektu, która nie wymaga podejmowania merytorycznych działań zmierzających do osiągnięcia celu projektu, </w:t>
      </w:r>
      <w:r w:rsidR="00F64E70" w:rsidRPr="009B6008">
        <w:rPr>
          <w:rFonts w:ascii="Open Sans Light" w:hAnsi="Open Sans Light" w:cs="Open Sans Light"/>
          <w:i/>
          <w:iCs/>
        </w:rPr>
        <w:t>zgodnie z</w:t>
      </w:r>
      <w:r w:rsidR="00E71053" w:rsidRPr="009B6008">
        <w:rPr>
          <w:rFonts w:ascii="Open Sans Light" w:hAnsi="Open Sans Light" w:cs="Open Sans Light"/>
          <w:i/>
          <w:iCs/>
        </w:rPr>
        <w:t> </w:t>
      </w:r>
      <w:r w:rsidR="00F64E70" w:rsidRPr="009B6008">
        <w:rPr>
          <w:rFonts w:ascii="Open Sans Light" w:hAnsi="Open Sans Light" w:cs="Open Sans Light"/>
          <w:i/>
          <w:iCs/>
        </w:rPr>
        <w:t>Regulaminem wyboru projektów</w:t>
      </w:r>
      <w:r w:rsidR="00F64E70" w:rsidRPr="00A61B8F">
        <w:rPr>
          <w:rStyle w:val="Odwoaniedokomentarza"/>
          <w:rFonts w:ascii="Open Sans Light" w:hAnsi="Open Sans Light" w:cs="Open Sans Light"/>
          <w:i/>
          <w:iCs/>
        </w:rPr>
        <w:t xml:space="preserve"> </w:t>
      </w:r>
      <w:r w:rsidR="00F64E70" w:rsidRPr="009B6008">
        <w:rPr>
          <w:rFonts w:ascii="Open Sans Light" w:hAnsi="Open Sans Light" w:cs="Open Sans Light"/>
          <w:i/>
          <w:iCs/>
        </w:rPr>
        <w:t>rozliczane będą stawką ryczałtową</w:t>
      </w:r>
      <w:r w:rsidR="00F814E4" w:rsidRPr="009B6008">
        <w:rPr>
          <w:rFonts w:ascii="Open Sans Light" w:hAnsi="Open Sans Light" w:cs="Open Sans Light"/>
          <w:i/>
          <w:iCs/>
        </w:rPr>
        <w:t xml:space="preserve"> wynikającą z Regulaminu wyboru projektów</w:t>
      </w:r>
      <w:r w:rsidR="00F64E70" w:rsidRPr="009B6008">
        <w:rPr>
          <w:rFonts w:ascii="Open Sans Light" w:hAnsi="Open Sans Light" w:cs="Open Sans Light"/>
          <w:i/>
          <w:iCs/>
        </w:rPr>
        <w:t>.</w:t>
      </w:r>
      <w:r w:rsidRPr="009B6008">
        <w:rPr>
          <w:rFonts w:ascii="Open Sans Light" w:hAnsi="Open Sans Light" w:cs="Open Sans Light"/>
          <w:i/>
          <w:iCs/>
        </w:rPr>
        <w:t xml:space="preserve"> </w:t>
      </w:r>
    </w:p>
    <w:sectPr w:rsidR="003C6181" w:rsidRPr="009B6008">
      <w:footerReference w:type="default" r:id="rId7"/>
      <w:headerReference w:type="first" r:id="rId8"/>
      <w:footerReference w:type="first" r:id="rId9"/>
      <w:pgSz w:w="11906" w:h="16838"/>
      <w:pgMar w:top="1417" w:right="1417" w:bottom="1417"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17BDD" w14:textId="77777777" w:rsidR="00647BC8" w:rsidRDefault="00647BC8">
      <w:pPr>
        <w:spacing w:after="0" w:line="240" w:lineRule="auto"/>
      </w:pPr>
      <w:r>
        <w:separator/>
      </w:r>
    </w:p>
  </w:endnote>
  <w:endnote w:type="continuationSeparator" w:id="0">
    <w:p w14:paraId="3B7FD126" w14:textId="77777777" w:rsidR="00647BC8" w:rsidRDefault="00647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 Sans Light">
    <w:charset w:val="00"/>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Open Sans Light" w:hAnsi="Open Sans Light" w:cs="Open Sans Light"/>
        <w:sz w:val="20"/>
        <w:szCs w:val="20"/>
      </w:rPr>
      <w:id w:val="-1150824951"/>
      <w:docPartObj>
        <w:docPartGallery w:val="Page Numbers (Bottom of Page)"/>
        <w:docPartUnique/>
      </w:docPartObj>
    </w:sdtPr>
    <w:sdtEndPr/>
    <w:sdtContent>
      <w:p w14:paraId="05A3D7A2" w14:textId="2750B173" w:rsidR="00090CF4" w:rsidRPr="00090CF4" w:rsidRDefault="00090CF4">
        <w:pPr>
          <w:pStyle w:val="Stopka"/>
          <w:jc w:val="right"/>
          <w:rPr>
            <w:rFonts w:ascii="Open Sans Light" w:hAnsi="Open Sans Light" w:cs="Open Sans Light"/>
            <w:sz w:val="20"/>
            <w:szCs w:val="20"/>
          </w:rPr>
        </w:pPr>
        <w:r w:rsidRPr="00090CF4">
          <w:rPr>
            <w:rFonts w:ascii="Open Sans Light" w:hAnsi="Open Sans Light" w:cs="Open Sans Light"/>
            <w:sz w:val="20"/>
            <w:szCs w:val="20"/>
          </w:rPr>
          <w:fldChar w:fldCharType="begin"/>
        </w:r>
        <w:r w:rsidRPr="00090CF4">
          <w:rPr>
            <w:rFonts w:ascii="Open Sans Light" w:hAnsi="Open Sans Light" w:cs="Open Sans Light"/>
            <w:sz w:val="20"/>
            <w:szCs w:val="20"/>
          </w:rPr>
          <w:instrText>PAGE   \* MERGEFORMAT</w:instrText>
        </w:r>
        <w:r w:rsidRPr="00090CF4">
          <w:rPr>
            <w:rFonts w:ascii="Open Sans Light" w:hAnsi="Open Sans Light" w:cs="Open Sans Light"/>
            <w:sz w:val="20"/>
            <w:szCs w:val="20"/>
          </w:rPr>
          <w:fldChar w:fldCharType="separate"/>
        </w:r>
        <w:r w:rsidRPr="00090CF4">
          <w:rPr>
            <w:rFonts w:ascii="Open Sans Light" w:hAnsi="Open Sans Light" w:cs="Open Sans Light"/>
            <w:sz w:val="20"/>
            <w:szCs w:val="20"/>
          </w:rPr>
          <w:t>2</w:t>
        </w:r>
        <w:r w:rsidRPr="00090CF4">
          <w:rPr>
            <w:rFonts w:ascii="Open Sans Light" w:hAnsi="Open Sans Light" w:cs="Open Sans Light"/>
            <w:sz w:val="20"/>
            <w:szCs w:val="20"/>
          </w:rPr>
          <w:fldChar w:fldCharType="end"/>
        </w:r>
      </w:p>
    </w:sdtContent>
  </w:sdt>
  <w:p w14:paraId="1029AC8F" w14:textId="77777777" w:rsidR="00E71053" w:rsidRDefault="00E710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7226836"/>
      <w:docPartObj>
        <w:docPartGallery w:val="Page Numbers (Bottom of Page)"/>
        <w:docPartUnique/>
      </w:docPartObj>
    </w:sdtPr>
    <w:sdtEndPr>
      <w:rPr>
        <w:rFonts w:ascii="Open Sans Light" w:hAnsi="Open Sans Light" w:cs="Open Sans Light"/>
        <w:sz w:val="20"/>
        <w:szCs w:val="20"/>
      </w:rPr>
    </w:sdtEndPr>
    <w:sdtContent>
      <w:p w14:paraId="485E259B" w14:textId="2EDE7B96" w:rsidR="00090CF4" w:rsidRPr="00090CF4" w:rsidRDefault="00090CF4">
        <w:pPr>
          <w:pStyle w:val="Stopka"/>
          <w:jc w:val="right"/>
          <w:rPr>
            <w:rFonts w:ascii="Open Sans Light" w:hAnsi="Open Sans Light" w:cs="Open Sans Light"/>
            <w:sz w:val="20"/>
            <w:szCs w:val="20"/>
          </w:rPr>
        </w:pPr>
        <w:r w:rsidRPr="00090CF4">
          <w:rPr>
            <w:rFonts w:ascii="Open Sans Light" w:hAnsi="Open Sans Light" w:cs="Open Sans Light"/>
            <w:sz w:val="20"/>
            <w:szCs w:val="20"/>
          </w:rPr>
          <w:fldChar w:fldCharType="begin"/>
        </w:r>
        <w:r w:rsidRPr="00090CF4">
          <w:rPr>
            <w:rFonts w:ascii="Open Sans Light" w:hAnsi="Open Sans Light" w:cs="Open Sans Light"/>
            <w:sz w:val="20"/>
            <w:szCs w:val="20"/>
          </w:rPr>
          <w:instrText>PAGE   \* MERGEFORMAT</w:instrText>
        </w:r>
        <w:r w:rsidRPr="00090CF4">
          <w:rPr>
            <w:rFonts w:ascii="Open Sans Light" w:hAnsi="Open Sans Light" w:cs="Open Sans Light"/>
            <w:sz w:val="20"/>
            <w:szCs w:val="20"/>
          </w:rPr>
          <w:fldChar w:fldCharType="separate"/>
        </w:r>
        <w:r w:rsidRPr="00090CF4">
          <w:rPr>
            <w:rFonts w:ascii="Open Sans Light" w:hAnsi="Open Sans Light" w:cs="Open Sans Light"/>
            <w:sz w:val="20"/>
            <w:szCs w:val="20"/>
          </w:rPr>
          <w:t>2</w:t>
        </w:r>
        <w:r w:rsidRPr="00090CF4">
          <w:rPr>
            <w:rFonts w:ascii="Open Sans Light" w:hAnsi="Open Sans Light" w:cs="Open Sans Light"/>
            <w:sz w:val="20"/>
            <w:szCs w:val="20"/>
          </w:rPr>
          <w:fldChar w:fldCharType="end"/>
        </w:r>
      </w:p>
    </w:sdtContent>
  </w:sdt>
  <w:p w14:paraId="549151AF" w14:textId="77777777" w:rsidR="0028292E" w:rsidRDefault="002829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0180E" w14:textId="77777777" w:rsidR="00647BC8" w:rsidRDefault="00647BC8">
      <w:pPr>
        <w:spacing w:after="0" w:line="240" w:lineRule="auto"/>
      </w:pPr>
      <w:r>
        <w:rPr>
          <w:color w:val="000000"/>
        </w:rPr>
        <w:separator/>
      </w:r>
    </w:p>
  </w:footnote>
  <w:footnote w:type="continuationSeparator" w:id="0">
    <w:p w14:paraId="72BEDFF9" w14:textId="77777777" w:rsidR="00647BC8" w:rsidRDefault="00647B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CC4C8" w14:textId="77777777" w:rsidR="0028292E" w:rsidRDefault="0028292E">
    <w:pPr>
      <w:pStyle w:val="Nagwek"/>
      <w:spacing w:after="120" w:line="276" w:lineRule="auto"/>
    </w:pPr>
    <w:r>
      <w:rPr>
        <w:noProof/>
        <w:lang w:eastAsia="pl-PL"/>
      </w:rPr>
      <w:drawing>
        <wp:inline distT="0" distB="0" distL="0" distR="0" wp14:anchorId="310E44FB" wp14:editId="7F43FA95">
          <wp:extent cx="5759256" cy="572780"/>
          <wp:effectExtent l="0" t="0" r="0" b="0"/>
          <wp:docPr id="923022479" name="grafika1"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923022479" name="grafika1" descr="Znak Fundusze Europejskie na Infrastrukturę, Klimat, Środowisko, znak barw Rzeczypospolitej Polskiej, znak Dofinansowane przez Unię Europejską, znak Narodowego Funduszu Ochrony Środowiska i Gospodarki Wodnej"/>
                  <pic:cNvPicPr/>
                </pic:nvPicPr>
                <pic:blipFill>
                  <a:blip r:embed="rId1">
                    <a:lum/>
                    <a:alphaModFix/>
                  </a:blip>
                  <a:srcRect/>
                  <a:stretch>
                    <a:fillRect/>
                  </a:stretch>
                </pic:blipFill>
                <pic:spPr>
                  <a:xfrm>
                    <a:off x="0" y="0"/>
                    <a:ext cx="5759256" cy="572780"/>
                  </a:xfrm>
                  <a:prstGeom prst="rect">
                    <a:avLst/>
                  </a:prstGeom>
                  <a:noFill/>
                  <a:ln>
                    <a:noFill/>
                    <a:prstDash/>
                  </a:ln>
                </pic:spPr>
              </pic:pic>
            </a:graphicData>
          </a:graphic>
        </wp:inline>
      </w:drawing>
    </w:r>
    <w:bookmarkStart w:id="0" w:name="_Hlk185928521"/>
    <w:bookmarkStart w:id="1" w:name="_Hlk185928522"/>
    <w:r>
      <w:rPr>
        <w:rFonts w:ascii="Open Sans Light" w:hAnsi="Open Sans Light" w:cs="Open Sans Light"/>
      </w:rPr>
      <w:t>Regulamin wyboru projektów w ramach programu Fundusze Europejskie na Infrastrukturę, Klimat, Środowisko 2021-2027</w:t>
    </w:r>
  </w:p>
  <w:p w14:paraId="05061170" w14:textId="77777777" w:rsidR="0028292E" w:rsidRDefault="0028292E">
    <w:pPr>
      <w:pStyle w:val="Nagwek"/>
      <w:spacing w:after="120" w:line="276" w:lineRule="auto"/>
      <w:rPr>
        <w:rFonts w:ascii="Open Sans Light" w:hAnsi="Open Sans Light" w:cs="Open Sans Light"/>
      </w:rPr>
    </w:pPr>
    <w:r>
      <w:rPr>
        <w:rFonts w:ascii="Open Sans Light" w:hAnsi="Open Sans Light" w:cs="Open Sans Light"/>
      </w:rPr>
      <w:t>Załącznik nr 8 - Dodatkowe warunki dotyczące kwalifikowalności w uzupełnieniu do Wytycznych dotyczących kwalifikowalności wydatków na lata 2021-2027</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67C0A"/>
    <w:multiLevelType w:val="multilevel"/>
    <w:tmpl w:val="AB94BEEE"/>
    <w:styleLink w:val="WWNum33"/>
    <w:lvl w:ilvl="0">
      <w:start w:val="1"/>
      <w:numFmt w:val="decimal"/>
      <w:lvlText w:val="%1)"/>
      <w:lvlJc w:val="left"/>
      <w:pPr>
        <w:ind w:left="720" w:hanging="360"/>
      </w:pPr>
      <w:rPr>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5036B2E"/>
    <w:multiLevelType w:val="multilevel"/>
    <w:tmpl w:val="41D2847A"/>
    <w:styleLink w:val="WWNum9"/>
    <w:lvl w:ilvl="0">
      <w:start w:val="1"/>
      <w:numFmt w:val="lowerLetter"/>
      <w:lvlText w:val="%1)"/>
      <w:lvlJc w:val="left"/>
      <w:pPr>
        <w:ind w:left="1287" w:hanging="360"/>
      </w:pPr>
      <w:rPr>
        <w:rFonts w:ascii="Open Sans Light" w:hAnsi="Open Sans Light" w:cs="Open Sans Light"/>
      </w:rPr>
    </w:lvl>
    <w:lvl w:ilvl="1">
      <w:start w:val="1"/>
      <w:numFmt w:val="lowerLetter"/>
      <w:lvlText w:val="."/>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2" w15:restartNumberingAfterBreak="0">
    <w:nsid w:val="08EF572A"/>
    <w:multiLevelType w:val="hybridMultilevel"/>
    <w:tmpl w:val="822C4C18"/>
    <w:lvl w:ilvl="0" w:tplc="4E3CB954">
      <w:start w:val="1"/>
      <w:numFmt w:val="lowerLetter"/>
      <w:lvlText w:val="%1)"/>
      <w:lvlJc w:val="left"/>
      <w:pPr>
        <w:ind w:left="644" w:hanging="360"/>
      </w:pPr>
      <w:rPr>
        <w:rFonts w:ascii="Open Sans Light" w:hAnsi="Open Sans Light" w:hint="default"/>
        <w:sz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0A9408F4"/>
    <w:multiLevelType w:val="multilevel"/>
    <w:tmpl w:val="34E0D240"/>
    <w:styleLink w:val="WWNum5"/>
    <w:lvl w:ilvl="0">
      <w:start w:val="1"/>
      <w:numFmt w:val="decimal"/>
      <w:lvlText w:val="%1)"/>
      <w:lvlJc w:val="left"/>
      <w:pPr>
        <w:ind w:left="502" w:hanging="360"/>
      </w:pPr>
      <w:rPr>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CEC70BF"/>
    <w:multiLevelType w:val="multilevel"/>
    <w:tmpl w:val="432A0EA0"/>
    <w:styleLink w:val="WWNum20"/>
    <w:lvl w:ilvl="0">
      <w:start w:val="4"/>
      <w:numFmt w:val="lowerLetter"/>
      <w:lvlText w:val="%1)"/>
      <w:lvlJc w:val="left"/>
      <w:pPr>
        <w:ind w:left="502"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F887CA3"/>
    <w:multiLevelType w:val="multilevel"/>
    <w:tmpl w:val="76FE5B32"/>
    <w:lvl w:ilvl="0">
      <w:start w:val="1"/>
      <w:numFmt w:val="lowerLetter"/>
      <w:lvlText w:val="%1)"/>
      <w:lvlJc w:val="left"/>
      <w:pPr>
        <w:ind w:left="2743" w:hanging="360"/>
      </w:pPr>
      <w:rPr>
        <w:rFonts w:ascii="Open Sans Light" w:hAnsi="Open Sans Light"/>
        <w:sz w:val="22"/>
      </w:rPr>
    </w:lvl>
    <w:lvl w:ilvl="1">
      <w:start w:val="1"/>
      <w:numFmt w:val="lowerLetter"/>
      <w:lvlText w:val="."/>
      <w:lvlJc w:val="left"/>
      <w:pPr>
        <w:ind w:left="3463" w:hanging="360"/>
      </w:pPr>
    </w:lvl>
    <w:lvl w:ilvl="2">
      <w:start w:val="1"/>
      <w:numFmt w:val="lowerRoman"/>
      <w:lvlText w:val="%1.%2.%3."/>
      <w:lvlJc w:val="right"/>
      <w:pPr>
        <w:ind w:left="4183" w:hanging="180"/>
      </w:pPr>
    </w:lvl>
    <w:lvl w:ilvl="3">
      <w:start w:val="1"/>
      <w:numFmt w:val="decimal"/>
      <w:lvlText w:val="%1.%2.%3.%4."/>
      <w:lvlJc w:val="left"/>
      <w:pPr>
        <w:ind w:left="4903" w:hanging="360"/>
      </w:pPr>
    </w:lvl>
    <w:lvl w:ilvl="4">
      <w:start w:val="1"/>
      <w:numFmt w:val="lowerLetter"/>
      <w:lvlText w:val="%1.%2.%3.%4.%5."/>
      <w:lvlJc w:val="left"/>
      <w:pPr>
        <w:ind w:left="5623" w:hanging="360"/>
      </w:pPr>
    </w:lvl>
    <w:lvl w:ilvl="5">
      <w:start w:val="1"/>
      <w:numFmt w:val="lowerRoman"/>
      <w:lvlText w:val="%1.%2.%3.%4.%5.%6."/>
      <w:lvlJc w:val="right"/>
      <w:pPr>
        <w:ind w:left="6343" w:hanging="180"/>
      </w:pPr>
    </w:lvl>
    <w:lvl w:ilvl="6">
      <w:start w:val="1"/>
      <w:numFmt w:val="decimal"/>
      <w:lvlText w:val="%1.%2.%3.%4.%5.%6.%7."/>
      <w:lvlJc w:val="left"/>
      <w:pPr>
        <w:ind w:left="7063" w:hanging="360"/>
      </w:pPr>
    </w:lvl>
    <w:lvl w:ilvl="7">
      <w:start w:val="1"/>
      <w:numFmt w:val="lowerLetter"/>
      <w:lvlText w:val="%1.%2.%3.%4.%5.%6.%7.%8."/>
      <w:lvlJc w:val="left"/>
      <w:pPr>
        <w:ind w:left="7783" w:hanging="360"/>
      </w:pPr>
    </w:lvl>
    <w:lvl w:ilvl="8">
      <w:start w:val="1"/>
      <w:numFmt w:val="lowerRoman"/>
      <w:lvlText w:val="%1.%2.%3.%4.%5.%6.%7.%8.%9."/>
      <w:lvlJc w:val="right"/>
      <w:pPr>
        <w:ind w:left="8503" w:hanging="180"/>
      </w:pPr>
    </w:lvl>
  </w:abstractNum>
  <w:abstractNum w:abstractNumId="6" w15:restartNumberingAfterBreak="0">
    <w:nsid w:val="13DB6C77"/>
    <w:multiLevelType w:val="multilevel"/>
    <w:tmpl w:val="C7861AC4"/>
    <w:styleLink w:val="WWNum37"/>
    <w:lvl w:ilvl="0">
      <w:numFmt w:val="bullet"/>
      <w:lvlText w:val=""/>
      <w:lvlJc w:val="left"/>
      <w:pPr>
        <w:ind w:left="1288" w:hanging="360"/>
      </w:pPr>
      <w:rPr>
        <w:rFonts w:ascii="Wingdings" w:hAnsi="Wingdings"/>
      </w:rPr>
    </w:lvl>
    <w:lvl w:ilvl="1">
      <w:numFmt w:val="bullet"/>
      <w:lvlText w:val="o"/>
      <w:lvlJc w:val="left"/>
      <w:pPr>
        <w:ind w:left="2008" w:hanging="360"/>
      </w:pPr>
      <w:rPr>
        <w:rFonts w:ascii="Courier New" w:hAnsi="Courier New" w:cs="Courier New"/>
      </w:rPr>
    </w:lvl>
    <w:lvl w:ilvl="2">
      <w:numFmt w:val="bullet"/>
      <w:lvlText w:val=""/>
      <w:lvlJc w:val="left"/>
      <w:pPr>
        <w:ind w:left="2728" w:hanging="360"/>
      </w:pPr>
      <w:rPr>
        <w:rFonts w:ascii="Wingdings" w:hAnsi="Wingdings"/>
      </w:rPr>
    </w:lvl>
    <w:lvl w:ilvl="3">
      <w:numFmt w:val="bullet"/>
      <w:lvlText w:val=""/>
      <w:lvlJc w:val="left"/>
      <w:pPr>
        <w:ind w:left="3448" w:hanging="360"/>
      </w:pPr>
      <w:rPr>
        <w:rFonts w:ascii="Symbol" w:hAnsi="Symbol"/>
      </w:rPr>
    </w:lvl>
    <w:lvl w:ilvl="4">
      <w:numFmt w:val="bullet"/>
      <w:lvlText w:val="o"/>
      <w:lvlJc w:val="left"/>
      <w:pPr>
        <w:ind w:left="4168" w:hanging="360"/>
      </w:pPr>
      <w:rPr>
        <w:rFonts w:ascii="Courier New" w:hAnsi="Courier New" w:cs="Courier New"/>
      </w:rPr>
    </w:lvl>
    <w:lvl w:ilvl="5">
      <w:numFmt w:val="bullet"/>
      <w:lvlText w:val=""/>
      <w:lvlJc w:val="left"/>
      <w:pPr>
        <w:ind w:left="4888" w:hanging="360"/>
      </w:pPr>
      <w:rPr>
        <w:rFonts w:ascii="Wingdings" w:hAnsi="Wingdings"/>
      </w:rPr>
    </w:lvl>
    <w:lvl w:ilvl="6">
      <w:numFmt w:val="bullet"/>
      <w:lvlText w:val=""/>
      <w:lvlJc w:val="left"/>
      <w:pPr>
        <w:ind w:left="5608" w:hanging="360"/>
      </w:pPr>
      <w:rPr>
        <w:rFonts w:ascii="Symbol" w:hAnsi="Symbol"/>
      </w:rPr>
    </w:lvl>
    <w:lvl w:ilvl="7">
      <w:numFmt w:val="bullet"/>
      <w:lvlText w:val="o"/>
      <w:lvlJc w:val="left"/>
      <w:pPr>
        <w:ind w:left="6328" w:hanging="360"/>
      </w:pPr>
      <w:rPr>
        <w:rFonts w:ascii="Courier New" w:hAnsi="Courier New" w:cs="Courier New"/>
      </w:rPr>
    </w:lvl>
    <w:lvl w:ilvl="8">
      <w:numFmt w:val="bullet"/>
      <w:lvlText w:val=""/>
      <w:lvlJc w:val="left"/>
      <w:pPr>
        <w:ind w:left="7048" w:hanging="360"/>
      </w:pPr>
      <w:rPr>
        <w:rFonts w:ascii="Wingdings" w:hAnsi="Wingdings"/>
      </w:rPr>
    </w:lvl>
  </w:abstractNum>
  <w:abstractNum w:abstractNumId="7" w15:restartNumberingAfterBreak="0">
    <w:nsid w:val="15267738"/>
    <w:multiLevelType w:val="multilevel"/>
    <w:tmpl w:val="E6EC6B72"/>
    <w:styleLink w:val="WWNum29"/>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6F60DC1"/>
    <w:multiLevelType w:val="hybridMultilevel"/>
    <w:tmpl w:val="B9E666BC"/>
    <w:lvl w:ilvl="0" w:tplc="4E3CB954">
      <w:start w:val="1"/>
      <w:numFmt w:val="lowerLetter"/>
      <w:lvlText w:val="%1)"/>
      <w:lvlJc w:val="left"/>
      <w:pPr>
        <w:ind w:left="1004" w:hanging="360"/>
      </w:pPr>
      <w:rPr>
        <w:rFonts w:ascii="Open Sans Light" w:hAnsi="Open Sans Light" w:hint="default"/>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9A63368"/>
    <w:multiLevelType w:val="multilevel"/>
    <w:tmpl w:val="C0A2786E"/>
    <w:styleLink w:val="WWNum38"/>
    <w:lvl w:ilvl="0">
      <w:numFmt w:val="bullet"/>
      <w:lvlText w:val=""/>
      <w:lvlJc w:val="left"/>
      <w:pPr>
        <w:ind w:left="1004" w:hanging="360"/>
      </w:pPr>
      <w:rPr>
        <w:rFonts w:ascii="Wingdings" w:hAnsi="Wingdings"/>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0" w15:restartNumberingAfterBreak="0">
    <w:nsid w:val="1D4231CE"/>
    <w:multiLevelType w:val="multilevel"/>
    <w:tmpl w:val="B8BE03E2"/>
    <w:styleLink w:val="WWNum27"/>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EC527DF"/>
    <w:multiLevelType w:val="hybridMultilevel"/>
    <w:tmpl w:val="571C69C4"/>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1F036D45"/>
    <w:multiLevelType w:val="hybridMultilevel"/>
    <w:tmpl w:val="5ED21E3E"/>
    <w:lvl w:ilvl="0" w:tplc="4E3CB954">
      <w:start w:val="1"/>
      <w:numFmt w:val="lowerLetter"/>
      <w:lvlText w:val="%1)"/>
      <w:lvlJc w:val="left"/>
      <w:pPr>
        <w:ind w:left="1287" w:hanging="360"/>
      </w:pPr>
      <w:rPr>
        <w:rFonts w:ascii="Open Sans Light" w:hAnsi="Open Sans Light" w:hint="default"/>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09D50F3"/>
    <w:multiLevelType w:val="hybridMultilevel"/>
    <w:tmpl w:val="8EBAE154"/>
    <w:lvl w:ilvl="0" w:tplc="4E3CB954">
      <w:start w:val="1"/>
      <w:numFmt w:val="lowerLetter"/>
      <w:lvlText w:val="%1)"/>
      <w:lvlJc w:val="left"/>
      <w:pPr>
        <w:ind w:left="720" w:hanging="360"/>
      </w:pPr>
      <w:rPr>
        <w:rFonts w:ascii="Open Sans Light" w:hAnsi="Open Sans Light"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B16239"/>
    <w:multiLevelType w:val="hybridMultilevel"/>
    <w:tmpl w:val="5A5CF466"/>
    <w:lvl w:ilvl="0" w:tplc="4E3CB954">
      <w:start w:val="1"/>
      <w:numFmt w:val="lowerLetter"/>
      <w:lvlText w:val="%1)"/>
      <w:lvlJc w:val="left"/>
      <w:pPr>
        <w:ind w:left="644" w:hanging="360"/>
      </w:pPr>
      <w:rPr>
        <w:rFonts w:ascii="Open Sans Light" w:hAnsi="Open Sans Light" w:hint="default"/>
        <w:sz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0A6882"/>
    <w:multiLevelType w:val="multilevel"/>
    <w:tmpl w:val="0EC6155E"/>
    <w:lvl w:ilvl="0">
      <w:start w:val="1"/>
      <w:numFmt w:val="lowerLetter"/>
      <w:lvlText w:val="%1)"/>
      <w:lvlJc w:val="left"/>
      <w:pPr>
        <w:ind w:left="2743" w:hanging="360"/>
      </w:pPr>
      <w:rPr>
        <w:rFonts w:ascii="Open Sans Light" w:hAnsi="Open Sans Light"/>
        <w:sz w:val="22"/>
      </w:rPr>
    </w:lvl>
    <w:lvl w:ilvl="1">
      <w:start w:val="1"/>
      <w:numFmt w:val="lowerLetter"/>
      <w:lvlText w:val="."/>
      <w:lvlJc w:val="left"/>
      <w:pPr>
        <w:ind w:left="3463" w:hanging="360"/>
      </w:pPr>
    </w:lvl>
    <w:lvl w:ilvl="2">
      <w:start w:val="1"/>
      <w:numFmt w:val="lowerRoman"/>
      <w:lvlText w:val="%1.%2.%3."/>
      <w:lvlJc w:val="right"/>
      <w:pPr>
        <w:ind w:left="4183" w:hanging="180"/>
      </w:pPr>
    </w:lvl>
    <w:lvl w:ilvl="3">
      <w:start w:val="1"/>
      <w:numFmt w:val="decimal"/>
      <w:lvlText w:val="%1.%2.%3.%4."/>
      <w:lvlJc w:val="left"/>
      <w:pPr>
        <w:ind w:left="4903" w:hanging="360"/>
      </w:pPr>
    </w:lvl>
    <w:lvl w:ilvl="4">
      <w:start w:val="1"/>
      <w:numFmt w:val="lowerLetter"/>
      <w:lvlText w:val="%1.%2.%3.%4.%5."/>
      <w:lvlJc w:val="left"/>
      <w:pPr>
        <w:ind w:left="5623" w:hanging="360"/>
      </w:pPr>
    </w:lvl>
    <w:lvl w:ilvl="5">
      <w:start w:val="1"/>
      <w:numFmt w:val="lowerRoman"/>
      <w:lvlText w:val="%1.%2.%3.%4.%5.%6."/>
      <w:lvlJc w:val="right"/>
      <w:pPr>
        <w:ind w:left="6343" w:hanging="180"/>
      </w:pPr>
    </w:lvl>
    <w:lvl w:ilvl="6">
      <w:start w:val="1"/>
      <w:numFmt w:val="decimal"/>
      <w:lvlText w:val="%1.%2.%3.%4.%5.%6.%7."/>
      <w:lvlJc w:val="left"/>
      <w:pPr>
        <w:ind w:left="7063" w:hanging="360"/>
      </w:pPr>
    </w:lvl>
    <w:lvl w:ilvl="7">
      <w:start w:val="1"/>
      <w:numFmt w:val="lowerLetter"/>
      <w:lvlText w:val="%1.%2.%3.%4.%5.%6.%7.%8."/>
      <w:lvlJc w:val="left"/>
      <w:pPr>
        <w:ind w:left="7783" w:hanging="360"/>
      </w:pPr>
    </w:lvl>
    <w:lvl w:ilvl="8">
      <w:start w:val="1"/>
      <w:numFmt w:val="lowerRoman"/>
      <w:lvlText w:val="%1.%2.%3.%4.%5.%6.%7.%8.%9."/>
      <w:lvlJc w:val="right"/>
      <w:pPr>
        <w:ind w:left="8503" w:hanging="180"/>
      </w:pPr>
    </w:lvl>
  </w:abstractNum>
  <w:abstractNum w:abstractNumId="16" w15:restartNumberingAfterBreak="0">
    <w:nsid w:val="2B1C1CCB"/>
    <w:multiLevelType w:val="multilevel"/>
    <w:tmpl w:val="80B65A5A"/>
    <w:lvl w:ilvl="0">
      <w:start w:val="1"/>
      <w:numFmt w:val="lowerLetter"/>
      <w:lvlText w:val="%1)"/>
      <w:lvlJc w:val="left"/>
      <w:pPr>
        <w:ind w:left="720" w:hanging="360"/>
      </w:pPr>
      <w:rPr>
        <w:rFonts w:ascii="Open Sans Light" w:hAnsi="Open Sans Light"/>
        <w:sz w:val="22"/>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B8B37D3"/>
    <w:multiLevelType w:val="hybridMultilevel"/>
    <w:tmpl w:val="AE9040D2"/>
    <w:lvl w:ilvl="0" w:tplc="4E3CB954">
      <w:start w:val="1"/>
      <w:numFmt w:val="lowerLetter"/>
      <w:lvlText w:val="%1)"/>
      <w:lvlJc w:val="left"/>
      <w:pPr>
        <w:ind w:left="720" w:hanging="360"/>
      </w:pPr>
      <w:rPr>
        <w:rFonts w:ascii="Open Sans Light" w:hAnsi="Open Sans Light"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9C1E66"/>
    <w:multiLevelType w:val="multilevel"/>
    <w:tmpl w:val="CB70173A"/>
    <w:styleLink w:val="WWNum36"/>
    <w:lvl w:ilvl="0">
      <w:numFmt w:val="bullet"/>
      <w:lvlText w:val=""/>
      <w:lvlJc w:val="left"/>
      <w:pPr>
        <w:ind w:left="1288" w:hanging="360"/>
      </w:pPr>
      <w:rPr>
        <w:rFonts w:ascii="Wingdings" w:hAnsi="Wingdings"/>
      </w:rPr>
    </w:lvl>
    <w:lvl w:ilvl="1">
      <w:numFmt w:val="bullet"/>
      <w:lvlText w:val="o"/>
      <w:lvlJc w:val="left"/>
      <w:pPr>
        <w:ind w:left="2008" w:hanging="360"/>
      </w:pPr>
      <w:rPr>
        <w:rFonts w:ascii="Courier New" w:hAnsi="Courier New" w:cs="Courier New"/>
      </w:rPr>
    </w:lvl>
    <w:lvl w:ilvl="2">
      <w:numFmt w:val="bullet"/>
      <w:lvlText w:val=""/>
      <w:lvlJc w:val="left"/>
      <w:pPr>
        <w:ind w:left="2728" w:hanging="360"/>
      </w:pPr>
      <w:rPr>
        <w:rFonts w:ascii="Wingdings" w:hAnsi="Wingdings"/>
      </w:rPr>
    </w:lvl>
    <w:lvl w:ilvl="3">
      <w:numFmt w:val="bullet"/>
      <w:lvlText w:val=""/>
      <w:lvlJc w:val="left"/>
      <w:pPr>
        <w:ind w:left="3448" w:hanging="360"/>
      </w:pPr>
      <w:rPr>
        <w:rFonts w:ascii="Symbol" w:hAnsi="Symbol"/>
      </w:rPr>
    </w:lvl>
    <w:lvl w:ilvl="4">
      <w:numFmt w:val="bullet"/>
      <w:lvlText w:val="o"/>
      <w:lvlJc w:val="left"/>
      <w:pPr>
        <w:ind w:left="4168" w:hanging="360"/>
      </w:pPr>
      <w:rPr>
        <w:rFonts w:ascii="Courier New" w:hAnsi="Courier New" w:cs="Courier New"/>
      </w:rPr>
    </w:lvl>
    <w:lvl w:ilvl="5">
      <w:numFmt w:val="bullet"/>
      <w:lvlText w:val=""/>
      <w:lvlJc w:val="left"/>
      <w:pPr>
        <w:ind w:left="4888" w:hanging="360"/>
      </w:pPr>
      <w:rPr>
        <w:rFonts w:ascii="Wingdings" w:hAnsi="Wingdings"/>
      </w:rPr>
    </w:lvl>
    <w:lvl w:ilvl="6">
      <w:numFmt w:val="bullet"/>
      <w:lvlText w:val=""/>
      <w:lvlJc w:val="left"/>
      <w:pPr>
        <w:ind w:left="5608" w:hanging="360"/>
      </w:pPr>
      <w:rPr>
        <w:rFonts w:ascii="Symbol" w:hAnsi="Symbol"/>
      </w:rPr>
    </w:lvl>
    <w:lvl w:ilvl="7">
      <w:numFmt w:val="bullet"/>
      <w:lvlText w:val="o"/>
      <w:lvlJc w:val="left"/>
      <w:pPr>
        <w:ind w:left="6328" w:hanging="360"/>
      </w:pPr>
      <w:rPr>
        <w:rFonts w:ascii="Courier New" w:hAnsi="Courier New" w:cs="Courier New"/>
      </w:rPr>
    </w:lvl>
    <w:lvl w:ilvl="8">
      <w:numFmt w:val="bullet"/>
      <w:lvlText w:val=""/>
      <w:lvlJc w:val="left"/>
      <w:pPr>
        <w:ind w:left="7048" w:hanging="360"/>
      </w:pPr>
      <w:rPr>
        <w:rFonts w:ascii="Wingdings" w:hAnsi="Wingdings"/>
      </w:rPr>
    </w:lvl>
  </w:abstractNum>
  <w:abstractNum w:abstractNumId="19" w15:restartNumberingAfterBreak="0">
    <w:nsid w:val="2D265648"/>
    <w:multiLevelType w:val="multilevel"/>
    <w:tmpl w:val="C03C6D60"/>
    <w:styleLink w:val="WWNum28"/>
    <w:lvl w:ilvl="0">
      <w:start w:val="1"/>
      <w:numFmt w:val="lowerLetter"/>
      <w:lvlText w:val="%1)"/>
      <w:lvlJc w:val="left"/>
      <w:pPr>
        <w:ind w:left="2743" w:hanging="360"/>
      </w:pPr>
    </w:lvl>
    <w:lvl w:ilvl="1">
      <w:start w:val="1"/>
      <w:numFmt w:val="lowerLetter"/>
      <w:lvlText w:val="."/>
      <w:lvlJc w:val="left"/>
      <w:pPr>
        <w:ind w:left="3463" w:hanging="360"/>
      </w:pPr>
    </w:lvl>
    <w:lvl w:ilvl="2">
      <w:start w:val="1"/>
      <w:numFmt w:val="lowerRoman"/>
      <w:lvlText w:val="%1.%2.%3."/>
      <w:lvlJc w:val="right"/>
      <w:pPr>
        <w:ind w:left="4183" w:hanging="180"/>
      </w:pPr>
    </w:lvl>
    <w:lvl w:ilvl="3">
      <w:start w:val="1"/>
      <w:numFmt w:val="decimal"/>
      <w:lvlText w:val="%1.%2.%3.%4."/>
      <w:lvlJc w:val="left"/>
      <w:pPr>
        <w:ind w:left="4903" w:hanging="360"/>
      </w:pPr>
    </w:lvl>
    <w:lvl w:ilvl="4">
      <w:start w:val="1"/>
      <w:numFmt w:val="lowerLetter"/>
      <w:lvlText w:val="%1.%2.%3.%4.%5."/>
      <w:lvlJc w:val="left"/>
      <w:pPr>
        <w:ind w:left="5623" w:hanging="360"/>
      </w:pPr>
    </w:lvl>
    <w:lvl w:ilvl="5">
      <w:start w:val="1"/>
      <w:numFmt w:val="lowerRoman"/>
      <w:lvlText w:val="%1.%2.%3.%4.%5.%6."/>
      <w:lvlJc w:val="right"/>
      <w:pPr>
        <w:ind w:left="6343" w:hanging="180"/>
      </w:pPr>
    </w:lvl>
    <w:lvl w:ilvl="6">
      <w:start w:val="1"/>
      <w:numFmt w:val="decimal"/>
      <w:lvlText w:val="%1.%2.%3.%4.%5.%6.%7."/>
      <w:lvlJc w:val="left"/>
      <w:pPr>
        <w:ind w:left="7063" w:hanging="360"/>
      </w:pPr>
    </w:lvl>
    <w:lvl w:ilvl="7">
      <w:start w:val="1"/>
      <w:numFmt w:val="lowerLetter"/>
      <w:lvlText w:val="%1.%2.%3.%4.%5.%6.%7.%8."/>
      <w:lvlJc w:val="left"/>
      <w:pPr>
        <w:ind w:left="7783" w:hanging="360"/>
      </w:pPr>
    </w:lvl>
    <w:lvl w:ilvl="8">
      <w:start w:val="1"/>
      <w:numFmt w:val="lowerRoman"/>
      <w:lvlText w:val="%1.%2.%3.%4.%5.%6.%7.%8.%9."/>
      <w:lvlJc w:val="right"/>
      <w:pPr>
        <w:ind w:left="8503" w:hanging="180"/>
      </w:pPr>
    </w:lvl>
  </w:abstractNum>
  <w:abstractNum w:abstractNumId="20" w15:restartNumberingAfterBreak="0">
    <w:nsid w:val="31106488"/>
    <w:multiLevelType w:val="multilevel"/>
    <w:tmpl w:val="048CD868"/>
    <w:lvl w:ilvl="0">
      <w:start w:val="1"/>
      <w:numFmt w:val="lowerLetter"/>
      <w:lvlText w:val="%1)"/>
      <w:lvlJc w:val="left"/>
      <w:pPr>
        <w:ind w:left="1440" w:hanging="360"/>
      </w:pPr>
      <w:rPr>
        <w:rFonts w:ascii="Open Sans Light" w:hAnsi="Open Sans Light"/>
        <w:sz w:val="22"/>
      </w:rPr>
    </w:lvl>
    <w:lvl w:ilvl="1">
      <w:start w:val="1"/>
      <w:numFmt w:val="lowerLetter"/>
      <w:lvlText w:val="."/>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1" w15:restartNumberingAfterBreak="0">
    <w:nsid w:val="317751F1"/>
    <w:multiLevelType w:val="hybridMultilevel"/>
    <w:tmpl w:val="020CFE1A"/>
    <w:lvl w:ilvl="0" w:tplc="D20467D0">
      <w:start w:val="1"/>
      <w:numFmt w:val="decimal"/>
      <w:lvlText w:val="%1."/>
      <w:lvlJc w:val="left"/>
      <w:pPr>
        <w:ind w:left="720" w:hanging="360"/>
      </w:pPr>
      <w:rPr>
        <w:rFonts w:ascii="Open Sans Light" w:hAnsi="Open Sans Light" w:cs="Open Sans Light"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E24D4"/>
    <w:multiLevelType w:val="multilevel"/>
    <w:tmpl w:val="C72EB71C"/>
    <w:lvl w:ilvl="0">
      <w:start w:val="1"/>
      <w:numFmt w:val="decimal"/>
      <w:lvlText w:val="%1."/>
      <w:lvlJc w:val="left"/>
      <w:pPr>
        <w:ind w:left="720" w:hanging="360"/>
      </w:pPr>
      <w:rPr>
        <w:rFonts w:hint="default"/>
        <w:color w:val="auto"/>
      </w:rPr>
    </w:lvl>
    <w:lvl w:ilvl="1">
      <w:start w:val="1"/>
      <w:numFmt w:val="lowerLetter"/>
      <w:lvlText w:val="."/>
      <w:lvlJc w:val="left"/>
      <w:pPr>
        <w:ind w:left="1440" w:hanging="360"/>
      </w:pPr>
      <w:rPr>
        <w:rFonts w:hint="default"/>
      </w:rPr>
    </w:lvl>
    <w:lvl w:ilvl="2">
      <w:start w:val="1"/>
      <w:numFmt w:val="lowerRoman"/>
      <w:lvlText w:val="."/>
      <w:lvlJc w:val="right"/>
      <w:pPr>
        <w:ind w:left="2160" w:hanging="180"/>
      </w:pPr>
      <w:rPr>
        <w:rFonts w:hint="default"/>
      </w:rPr>
    </w:lvl>
    <w:lvl w:ilvl="3">
      <w:start w:val="1"/>
      <w:numFmt w:val="decimal"/>
      <w:lvlText w:val="."/>
      <w:lvlJc w:val="left"/>
      <w:pPr>
        <w:ind w:left="2880" w:hanging="360"/>
      </w:pPr>
      <w:rPr>
        <w:rFonts w:hint="default"/>
      </w:rPr>
    </w:lvl>
    <w:lvl w:ilvl="4">
      <w:start w:val="1"/>
      <w:numFmt w:val="lowerLetter"/>
      <w:lvlText w:val="."/>
      <w:lvlJc w:val="left"/>
      <w:pPr>
        <w:ind w:left="3600" w:hanging="360"/>
      </w:pPr>
      <w:rPr>
        <w:rFonts w:hint="default"/>
      </w:rPr>
    </w:lvl>
    <w:lvl w:ilvl="5">
      <w:start w:val="1"/>
      <w:numFmt w:val="lowerRoman"/>
      <w:lvlText w:val="."/>
      <w:lvlJc w:val="right"/>
      <w:pPr>
        <w:ind w:left="4320" w:hanging="180"/>
      </w:pPr>
      <w:rPr>
        <w:rFonts w:hint="default"/>
      </w:rPr>
    </w:lvl>
    <w:lvl w:ilvl="6">
      <w:start w:val="1"/>
      <w:numFmt w:val="decimal"/>
      <w:lvlText w:val="."/>
      <w:lvlJc w:val="left"/>
      <w:pPr>
        <w:ind w:left="5040" w:hanging="360"/>
      </w:pPr>
      <w:rPr>
        <w:rFonts w:hint="default"/>
      </w:rPr>
    </w:lvl>
    <w:lvl w:ilvl="7">
      <w:start w:val="1"/>
      <w:numFmt w:val="lowerLetter"/>
      <w:lvlText w:val="."/>
      <w:lvlJc w:val="left"/>
      <w:pPr>
        <w:ind w:left="5760" w:hanging="360"/>
      </w:pPr>
      <w:rPr>
        <w:rFonts w:hint="default"/>
      </w:rPr>
    </w:lvl>
    <w:lvl w:ilvl="8">
      <w:start w:val="1"/>
      <w:numFmt w:val="lowerRoman"/>
      <w:lvlText w:val="."/>
      <w:lvlJc w:val="right"/>
      <w:pPr>
        <w:ind w:left="6480" w:hanging="180"/>
      </w:pPr>
      <w:rPr>
        <w:rFonts w:hint="default"/>
      </w:rPr>
    </w:lvl>
  </w:abstractNum>
  <w:abstractNum w:abstractNumId="23" w15:restartNumberingAfterBreak="0">
    <w:nsid w:val="34473CF3"/>
    <w:multiLevelType w:val="multilevel"/>
    <w:tmpl w:val="E9D2DE42"/>
    <w:styleLink w:val="WWNum12"/>
    <w:lvl w:ilvl="0">
      <w:start w:val="1"/>
      <w:numFmt w:val="decimal"/>
      <w:lvlText w:val="%1)"/>
      <w:lvlJc w:val="left"/>
      <w:pPr>
        <w:ind w:left="502"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6F50AB6"/>
    <w:multiLevelType w:val="hybridMultilevel"/>
    <w:tmpl w:val="AFF253E4"/>
    <w:lvl w:ilvl="0" w:tplc="4E3CB954">
      <w:start w:val="1"/>
      <w:numFmt w:val="lowerLetter"/>
      <w:lvlText w:val="%1)"/>
      <w:lvlJc w:val="left"/>
      <w:pPr>
        <w:ind w:left="644" w:hanging="360"/>
      </w:pPr>
      <w:rPr>
        <w:rFonts w:ascii="Open Sans Light" w:hAnsi="Open Sans Light" w:hint="default"/>
        <w:sz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15:restartNumberingAfterBreak="0">
    <w:nsid w:val="3C6D6C20"/>
    <w:multiLevelType w:val="multilevel"/>
    <w:tmpl w:val="8DDCA8F8"/>
    <w:styleLink w:val="WWNum30"/>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D0E1418"/>
    <w:multiLevelType w:val="hybridMultilevel"/>
    <w:tmpl w:val="571C69C4"/>
    <w:lvl w:ilvl="0" w:tplc="C14AE6D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3F224FA2"/>
    <w:multiLevelType w:val="multilevel"/>
    <w:tmpl w:val="78942E60"/>
    <w:styleLink w:val="WWNum8"/>
    <w:lvl w:ilvl="0">
      <w:start w:val="1"/>
      <w:numFmt w:val="lowerLetter"/>
      <w:lvlText w:val="%1)"/>
      <w:lvlJc w:val="left"/>
      <w:pPr>
        <w:ind w:left="1440" w:hanging="360"/>
      </w:pPr>
    </w:lvl>
    <w:lvl w:ilvl="1">
      <w:start w:val="1"/>
      <w:numFmt w:val="lowerLetter"/>
      <w:lvlText w:val="."/>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8" w15:restartNumberingAfterBreak="0">
    <w:nsid w:val="3FF7261F"/>
    <w:multiLevelType w:val="multilevel"/>
    <w:tmpl w:val="418285D8"/>
    <w:styleLink w:val="WWNum40"/>
    <w:lvl w:ilvl="0">
      <w:start w:val="7"/>
      <w:numFmt w:val="decimal"/>
      <w:lvlText w:val="%1)"/>
      <w:lvlJc w:val="left"/>
      <w:pPr>
        <w:ind w:left="644" w:hanging="360"/>
      </w:pPr>
      <w:rPr>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0AA0077"/>
    <w:multiLevelType w:val="multilevel"/>
    <w:tmpl w:val="0CE4F7C4"/>
    <w:styleLink w:val="WWNum4"/>
    <w:lvl w:ilvl="0">
      <w:start w:val="1"/>
      <w:numFmt w:val="decimal"/>
      <w:lvlText w:val="%1."/>
      <w:lvlJc w:val="left"/>
      <w:pPr>
        <w:ind w:left="720" w:hanging="360"/>
      </w:pPr>
      <w:rPr>
        <w:rFonts w:ascii="Open Sans Light" w:hAnsi="Open Sans Light" w:cs="Open Sans Light"/>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1A772BC"/>
    <w:multiLevelType w:val="multilevel"/>
    <w:tmpl w:val="CE7E2DE0"/>
    <w:lvl w:ilvl="0">
      <w:start w:val="1"/>
      <w:numFmt w:val="lowerLetter"/>
      <w:lvlText w:val="%1)"/>
      <w:lvlJc w:val="left"/>
      <w:pPr>
        <w:ind w:left="644" w:hanging="360"/>
      </w:pPr>
      <w:rPr>
        <w:rFonts w:ascii="Open Sans Light" w:hAnsi="Open Sans Light" w:cs="Open Sans Light"/>
      </w:r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31" w15:restartNumberingAfterBreak="0">
    <w:nsid w:val="44023CDA"/>
    <w:multiLevelType w:val="multilevel"/>
    <w:tmpl w:val="4F3C18B0"/>
    <w:styleLink w:val="WWNum14"/>
    <w:lvl w:ilvl="0">
      <w:start w:val="1"/>
      <w:numFmt w:val="lowerLetter"/>
      <w:lvlText w:val="%1)"/>
      <w:lvlJc w:val="left"/>
      <w:pPr>
        <w:ind w:left="1080" w:hanging="360"/>
      </w:pPr>
    </w:lvl>
    <w:lvl w:ilvl="1">
      <w:start w:val="1"/>
      <w:numFmt w:val="lowerLetter"/>
      <w:lvlText w:val="."/>
      <w:lvlJc w:val="left"/>
      <w:pPr>
        <w:ind w:left="1800" w:hanging="360"/>
      </w:pPr>
    </w:lvl>
    <w:lvl w:ilvl="2">
      <w:start w:val="1"/>
      <w:numFmt w:val="lowerRoman"/>
      <w:lvlText w:val="%1.%2.%3."/>
      <w:lvlJc w:val="right"/>
      <w:pPr>
        <w:ind w:left="2520" w:hanging="180"/>
      </w:pPr>
    </w:lvl>
    <w:lvl w:ilvl="3">
      <w:start w:val="1"/>
      <w:numFmt w:val="lowerLetter"/>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2" w15:restartNumberingAfterBreak="0">
    <w:nsid w:val="44552A63"/>
    <w:multiLevelType w:val="hybridMultilevel"/>
    <w:tmpl w:val="B4EEA4A4"/>
    <w:lvl w:ilvl="0" w:tplc="7218669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48495E4E"/>
    <w:multiLevelType w:val="multilevel"/>
    <w:tmpl w:val="36048884"/>
    <w:styleLink w:val="WWNum23"/>
    <w:lvl w:ilvl="0">
      <w:numFmt w:val="bullet"/>
      <w:lvlText w:val=""/>
      <w:lvlJc w:val="left"/>
      <w:pPr>
        <w:ind w:left="1635" w:hanging="360"/>
      </w:pPr>
      <w:rPr>
        <w:rFonts w:ascii="Symbol" w:hAnsi="Symbol"/>
      </w:rPr>
    </w:lvl>
    <w:lvl w:ilvl="1">
      <w:numFmt w:val="bullet"/>
      <w:lvlText w:val="o"/>
      <w:lvlJc w:val="left"/>
      <w:pPr>
        <w:ind w:left="2355" w:hanging="360"/>
      </w:pPr>
      <w:rPr>
        <w:rFonts w:ascii="Courier New" w:hAnsi="Courier New" w:cs="Courier New"/>
      </w:rPr>
    </w:lvl>
    <w:lvl w:ilvl="2">
      <w:numFmt w:val="bullet"/>
      <w:lvlText w:val=""/>
      <w:lvlJc w:val="left"/>
      <w:pPr>
        <w:ind w:left="3075" w:hanging="360"/>
      </w:pPr>
      <w:rPr>
        <w:rFonts w:ascii="Wingdings" w:hAnsi="Wingdings"/>
      </w:rPr>
    </w:lvl>
    <w:lvl w:ilvl="3">
      <w:numFmt w:val="bullet"/>
      <w:lvlText w:val=""/>
      <w:lvlJc w:val="left"/>
      <w:pPr>
        <w:ind w:left="3795" w:hanging="360"/>
      </w:pPr>
      <w:rPr>
        <w:rFonts w:ascii="Symbol" w:hAnsi="Symbol"/>
      </w:rPr>
    </w:lvl>
    <w:lvl w:ilvl="4">
      <w:numFmt w:val="bullet"/>
      <w:lvlText w:val="o"/>
      <w:lvlJc w:val="left"/>
      <w:pPr>
        <w:ind w:left="4515" w:hanging="360"/>
      </w:pPr>
      <w:rPr>
        <w:rFonts w:ascii="Courier New" w:hAnsi="Courier New" w:cs="Courier New"/>
      </w:rPr>
    </w:lvl>
    <w:lvl w:ilvl="5">
      <w:numFmt w:val="bullet"/>
      <w:lvlText w:val=""/>
      <w:lvlJc w:val="left"/>
      <w:pPr>
        <w:ind w:left="5235" w:hanging="360"/>
      </w:pPr>
      <w:rPr>
        <w:rFonts w:ascii="Wingdings" w:hAnsi="Wingdings"/>
      </w:rPr>
    </w:lvl>
    <w:lvl w:ilvl="6">
      <w:numFmt w:val="bullet"/>
      <w:lvlText w:val=""/>
      <w:lvlJc w:val="left"/>
      <w:pPr>
        <w:ind w:left="5955" w:hanging="360"/>
      </w:pPr>
      <w:rPr>
        <w:rFonts w:ascii="Symbol" w:hAnsi="Symbol"/>
      </w:rPr>
    </w:lvl>
    <w:lvl w:ilvl="7">
      <w:numFmt w:val="bullet"/>
      <w:lvlText w:val="o"/>
      <w:lvlJc w:val="left"/>
      <w:pPr>
        <w:ind w:left="6675" w:hanging="360"/>
      </w:pPr>
      <w:rPr>
        <w:rFonts w:ascii="Courier New" w:hAnsi="Courier New" w:cs="Courier New"/>
      </w:rPr>
    </w:lvl>
    <w:lvl w:ilvl="8">
      <w:numFmt w:val="bullet"/>
      <w:lvlText w:val=""/>
      <w:lvlJc w:val="left"/>
      <w:pPr>
        <w:ind w:left="7395" w:hanging="360"/>
      </w:pPr>
      <w:rPr>
        <w:rFonts w:ascii="Wingdings" w:hAnsi="Wingdings"/>
      </w:rPr>
    </w:lvl>
  </w:abstractNum>
  <w:abstractNum w:abstractNumId="34" w15:restartNumberingAfterBreak="0">
    <w:nsid w:val="48D26454"/>
    <w:multiLevelType w:val="multilevel"/>
    <w:tmpl w:val="7DEE9914"/>
    <w:styleLink w:val="WWNum17"/>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35" w15:restartNumberingAfterBreak="0">
    <w:nsid w:val="49F753E7"/>
    <w:multiLevelType w:val="multilevel"/>
    <w:tmpl w:val="3ADC87DA"/>
    <w:styleLink w:val="WWNum32"/>
    <w:lvl w:ilvl="0">
      <w:start w:val="1"/>
      <w:numFmt w:val="decimal"/>
      <w:lvlText w:val="%1)"/>
      <w:lvlJc w:val="left"/>
      <w:pPr>
        <w:ind w:left="1080" w:hanging="360"/>
      </w:pPr>
    </w:lvl>
    <w:lvl w:ilvl="1">
      <w:start w:val="1"/>
      <w:numFmt w:val="lowerLetter"/>
      <w:lvlText w:val="."/>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6" w15:restartNumberingAfterBreak="0">
    <w:nsid w:val="4AF73865"/>
    <w:multiLevelType w:val="multilevel"/>
    <w:tmpl w:val="92EC0A70"/>
    <w:styleLink w:val="WWNum25"/>
    <w:lvl w:ilvl="0">
      <w:start w:val="13"/>
      <w:numFmt w:val="decimal"/>
      <w:lvlText w:val="%1)"/>
      <w:lvlJc w:val="left"/>
      <w:pPr>
        <w:ind w:left="720" w:hanging="360"/>
      </w:pPr>
      <w:rPr>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C2622CB"/>
    <w:multiLevelType w:val="multilevel"/>
    <w:tmpl w:val="D988C1CC"/>
    <w:styleLink w:val="WWNum11"/>
    <w:lvl w:ilvl="0">
      <w:start w:val="1"/>
      <w:numFmt w:val="lowerLetter"/>
      <w:lvlText w:val="%1)"/>
      <w:lvlJc w:val="left"/>
      <w:pPr>
        <w:ind w:left="2743" w:hanging="360"/>
      </w:pPr>
    </w:lvl>
    <w:lvl w:ilvl="1">
      <w:start w:val="1"/>
      <w:numFmt w:val="lowerLetter"/>
      <w:lvlText w:val="."/>
      <w:lvlJc w:val="left"/>
      <w:pPr>
        <w:ind w:left="3463" w:hanging="360"/>
      </w:pPr>
    </w:lvl>
    <w:lvl w:ilvl="2">
      <w:start w:val="1"/>
      <w:numFmt w:val="lowerRoman"/>
      <w:lvlText w:val="%1.%2.%3."/>
      <w:lvlJc w:val="right"/>
      <w:pPr>
        <w:ind w:left="4183" w:hanging="180"/>
      </w:pPr>
    </w:lvl>
    <w:lvl w:ilvl="3">
      <w:start w:val="1"/>
      <w:numFmt w:val="decimal"/>
      <w:lvlText w:val="%1.%2.%3.%4."/>
      <w:lvlJc w:val="left"/>
      <w:pPr>
        <w:ind w:left="4903" w:hanging="360"/>
      </w:pPr>
    </w:lvl>
    <w:lvl w:ilvl="4">
      <w:start w:val="1"/>
      <w:numFmt w:val="lowerLetter"/>
      <w:lvlText w:val="%1.%2.%3.%4.%5."/>
      <w:lvlJc w:val="left"/>
      <w:pPr>
        <w:ind w:left="5623" w:hanging="360"/>
      </w:pPr>
    </w:lvl>
    <w:lvl w:ilvl="5">
      <w:start w:val="1"/>
      <w:numFmt w:val="lowerRoman"/>
      <w:lvlText w:val="%1.%2.%3.%4.%5.%6."/>
      <w:lvlJc w:val="right"/>
      <w:pPr>
        <w:ind w:left="6343" w:hanging="180"/>
      </w:pPr>
    </w:lvl>
    <w:lvl w:ilvl="6">
      <w:start w:val="1"/>
      <w:numFmt w:val="decimal"/>
      <w:lvlText w:val="%1.%2.%3.%4.%5.%6.%7."/>
      <w:lvlJc w:val="left"/>
      <w:pPr>
        <w:ind w:left="7063" w:hanging="360"/>
      </w:pPr>
    </w:lvl>
    <w:lvl w:ilvl="7">
      <w:start w:val="1"/>
      <w:numFmt w:val="lowerLetter"/>
      <w:lvlText w:val="%1.%2.%3.%4.%5.%6.%7.%8."/>
      <w:lvlJc w:val="left"/>
      <w:pPr>
        <w:ind w:left="7783" w:hanging="360"/>
      </w:pPr>
    </w:lvl>
    <w:lvl w:ilvl="8">
      <w:start w:val="1"/>
      <w:numFmt w:val="lowerRoman"/>
      <w:lvlText w:val="%1.%2.%3.%4.%5.%6.%7.%8.%9."/>
      <w:lvlJc w:val="right"/>
      <w:pPr>
        <w:ind w:left="8503" w:hanging="180"/>
      </w:pPr>
    </w:lvl>
  </w:abstractNum>
  <w:abstractNum w:abstractNumId="38" w15:restartNumberingAfterBreak="0">
    <w:nsid w:val="4EC76616"/>
    <w:multiLevelType w:val="multilevel"/>
    <w:tmpl w:val="447A4B84"/>
    <w:styleLink w:val="WWNum10"/>
    <w:lvl w:ilvl="0">
      <w:start w:val="1"/>
      <w:numFmt w:val="lowerLetter"/>
      <w:lvlText w:val="%1)"/>
      <w:lvlJc w:val="left"/>
      <w:pPr>
        <w:ind w:left="502" w:hanging="360"/>
      </w:pPr>
      <w:rPr>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51BB4753"/>
    <w:multiLevelType w:val="hybridMultilevel"/>
    <w:tmpl w:val="F7D06BC6"/>
    <w:lvl w:ilvl="0" w:tplc="4E3CB954">
      <w:start w:val="1"/>
      <w:numFmt w:val="lowerLetter"/>
      <w:lvlText w:val="%1)"/>
      <w:lvlJc w:val="left"/>
      <w:pPr>
        <w:ind w:left="720" w:hanging="360"/>
      </w:pPr>
      <w:rPr>
        <w:rFonts w:ascii="Open Sans Light" w:hAnsi="Open Sans Light"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624C70"/>
    <w:multiLevelType w:val="multilevel"/>
    <w:tmpl w:val="5B52DA44"/>
    <w:lvl w:ilvl="0">
      <w:start w:val="1"/>
      <w:numFmt w:val="decimal"/>
      <w:lvlText w:val="%1."/>
      <w:lvlJc w:val="left"/>
      <w:pPr>
        <w:ind w:left="720" w:hanging="360"/>
      </w:pPr>
      <w:rPr>
        <w:rFonts w:ascii="Open Sans Light" w:hAnsi="Open Sans Light"/>
        <w:sz w:val="22"/>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1" w15:restartNumberingAfterBreak="0">
    <w:nsid w:val="52901782"/>
    <w:multiLevelType w:val="hybridMultilevel"/>
    <w:tmpl w:val="039CC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8D7374"/>
    <w:multiLevelType w:val="multilevel"/>
    <w:tmpl w:val="E2BCDC4C"/>
    <w:lvl w:ilvl="0">
      <w:start w:val="1"/>
      <w:numFmt w:val="decimal"/>
      <w:lvlText w:val="%1."/>
      <w:lvlJc w:val="left"/>
      <w:pPr>
        <w:ind w:left="720" w:hanging="360"/>
      </w:pPr>
      <w:rPr>
        <w:rFonts w:ascii="Open Sans Light" w:hAnsi="Open Sans Light" w:cs="Open Sans Light"/>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3" w15:restartNumberingAfterBreak="0">
    <w:nsid w:val="59734DA7"/>
    <w:multiLevelType w:val="multilevel"/>
    <w:tmpl w:val="6DD4C04A"/>
    <w:styleLink w:val="WWNum35"/>
    <w:lvl w:ilvl="0">
      <w:start w:val="1"/>
      <w:numFmt w:val="lowerLetter"/>
      <w:lvlText w:val="%1)"/>
      <w:lvlJc w:val="left"/>
      <w:pPr>
        <w:ind w:left="1440" w:hanging="360"/>
      </w:pPr>
      <w:rPr>
        <w:color w:val="00000A"/>
      </w:rPr>
    </w:lvl>
    <w:lvl w:ilvl="1">
      <w:start w:val="1"/>
      <w:numFmt w:val="lowerLetter"/>
      <w:lvlText w:val="."/>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4" w15:restartNumberingAfterBreak="0">
    <w:nsid w:val="59BE10EC"/>
    <w:multiLevelType w:val="multilevel"/>
    <w:tmpl w:val="A162B94C"/>
    <w:styleLink w:val="WWNum13"/>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5A7C2073"/>
    <w:multiLevelType w:val="multilevel"/>
    <w:tmpl w:val="495CE18C"/>
    <w:lvl w:ilvl="0">
      <w:start w:val="1"/>
      <w:numFmt w:val="lowerLetter"/>
      <w:lvlText w:val="%1)"/>
      <w:lvlJc w:val="left"/>
      <w:pPr>
        <w:ind w:left="1440" w:hanging="360"/>
      </w:pPr>
      <w:rPr>
        <w:rFonts w:ascii="Open Sans Light" w:hAnsi="Open Sans Light"/>
        <w:sz w:val="22"/>
      </w:rPr>
    </w:lvl>
    <w:lvl w:ilvl="1">
      <w:start w:val="1"/>
      <w:numFmt w:val="lowerLetter"/>
      <w:lvlText w:val="."/>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6" w15:restartNumberingAfterBreak="0">
    <w:nsid w:val="5AC20081"/>
    <w:multiLevelType w:val="multilevel"/>
    <w:tmpl w:val="FA2626B6"/>
    <w:styleLink w:val="WWNum2"/>
    <w:lvl w:ilvl="0">
      <w:start w:val="1"/>
      <w:numFmt w:val="decimal"/>
      <w:lvlText w:val="%1."/>
      <w:lvlJc w:val="left"/>
      <w:pPr>
        <w:ind w:left="502" w:hanging="360"/>
      </w:pPr>
      <w:rPr>
        <w:rFonts w:ascii="Open Sans Light" w:hAnsi="Open Sans Light" w:cs="Open Sans Light"/>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5E5B0668"/>
    <w:multiLevelType w:val="multilevel"/>
    <w:tmpl w:val="D8E8E64C"/>
    <w:styleLink w:val="WWNum1"/>
    <w:lvl w:ilvl="0">
      <w:start w:val="1"/>
      <w:numFmt w:val="decimal"/>
      <w:lvlText w:val="%1."/>
      <w:lvlJc w:val="left"/>
      <w:pPr>
        <w:ind w:left="1779" w:hanging="360"/>
      </w:pPr>
      <w:rPr>
        <w:rFonts w:ascii="Open Sans Light" w:hAnsi="Open Sans Light" w:cs="Open Sans Light"/>
        <w:b w:val="0"/>
        <w:bCs w:val="0"/>
        <w:i w:val="0"/>
      </w:rPr>
    </w:lvl>
    <w:lvl w:ilvl="1">
      <w:start w:val="1"/>
      <w:numFmt w:val="lowerLetter"/>
      <w:lvlText w:val=")"/>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5F5C1F7D"/>
    <w:multiLevelType w:val="multilevel"/>
    <w:tmpl w:val="58A8B0C0"/>
    <w:styleLink w:val="WWNum7"/>
    <w:lvl w:ilvl="0">
      <w:start w:val="1"/>
      <w:numFmt w:val="lowerLetter"/>
      <w:lvlText w:val="%1)"/>
      <w:lvlJc w:val="left"/>
      <w:pPr>
        <w:ind w:left="1440" w:hanging="360"/>
      </w:pPr>
    </w:lvl>
    <w:lvl w:ilvl="1">
      <w:start w:val="1"/>
      <w:numFmt w:val="lowerLetter"/>
      <w:lvlText w:val="."/>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9" w15:restartNumberingAfterBreak="0">
    <w:nsid w:val="61A83AF1"/>
    <w:multiLevelType w:val="multilevel"/>
    <w:tmpl w:val="ED0C7A74"/>
    <w:styleLink w:val="WWNum39"/>
    <w:lvl w:ilvl="0">
      <w:numFmt w:val="bullet"/>
      <w:lvlText w:val=""/>
      <w:lvlJc w:val="left"/>
      <w:pPr>
        <w:ind w:left="1004" w:hanging="360"/>
      </w:pPr>
      <w:rPr>
        <w:rFonts w:ascii="Wingdings" w:hAnsi="Wingdings"/>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50" w15:restartNumberingAfterBreak="0">
    <w:nsid w:val="622D367A"/>
    <w:multiLevelType w:val="multilevel"/>
    <w:tmpl w:val="679AF298"/>
    <w:styleLink w:val="WWNum15"/>
    <w:lvl w:ilvl="0">
      <w:start w:val="1"/>
      <w:numFmt w:val="decimal"/>
      <w:lvlText w:val="%1)"/>
      <w:lvlJc w:val="left"/>
      <w:pPr>
        <w:ind w:left="720" w:hanging="360"/>
      </w:pPr>
      <w:rPr>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628422EC"/>
    <w:multiLevelType w:val="multilevel"/>
    <w:tmpl w:val="04E6469E"/>
    <w:styleLink w:val="WWNum24"/>
    <w:lvl w:ilvl="0">
      <w:numFmt w:val="bullet"/>
      <w:lvlText w:val=""/>
      <w:lvlJc w:val="left"/>
      <w:pPr>
        <w:ind w:left="1635" w:hanging="360"/>
      </w:pPr>
      <w:rPr>
        <w:rFonts w:ascii="Symbol" w:hAnsi="Symbol"/>
      </w:rPr>
    </w:lvl>
    <w:lvl w:ilvl="1">
      <w:numFmt w:val="bullet"/>
      <w:lvlText w:val="o"/>
      <w:lvlJc w:val="left"/>
      <w:pPr>
        <w:ind w:left="2355" w:hanging="360"/>
      </w:pPr>
      <w:rPr>
        <w:rFonts w:ascii="Courier New" w:hAnsi="Courier New" w:cs="Courier New"/>
      </w:rPr>
    </w:lvl>
    <w:lvl w:ilvl="2">
      <w:numFmt w:val="bullet"/>
      <w:lvlText w:val=""/>
      <w:lvlJc w:val="left"/>
      <w:pPr>
        <w:ind w:left="3075" w:hanging="360"/>
      </w:pPr>
      <w:rPr>
        <w:rFonts w:ascii="Wingdings" w:hAnsi="Wingdings"/>
      </w:rPr>
    </w:lvl>
    <w:lvl w:ilvl="3">
      <w:numFmt w:val="bullet"/>
      <w:lvlText w:val=""/>
      <w:lvlJc w:val="left"/>
      <w:pPr>
        <w:ind w:left="3795" w:hanging="360"/>
      </w:pPr>
      <w:rPr>
        <w:rFonts w:ascii="Symbol" w:hAnsi="Symbol"/>
      </w:rPr>
    </w:lvl>
    <w:lvl w:ilvl="4">
      <w:numFmt w:val="bullet"/>
      <w:lvlText w:val="o"/>
      <w:lvlJc w:val="left"/>
      <w:pPr>
        <w:ind w:left="4515" w:hanging="360"/>
      </w:pPr>
      <w:rPr>
        <w:rFonts w:ascii="Courier New" w:hAnsi="Courier New" w:cs="Courier New"/>
      </w:rPr>
    </w:lvl>
    <w:lvl w:ilvl="5">
      <w:numFmt w:val="bullet"/>
      <w:lvlText w:val=""/>
      <w:lvlJc w:val="left"/>
      <w:pPr>
        <w:ind w:left="5235" w:hanging="360"/>
      </w:pPr>
      <w:rPr>
        <w:rFonts w:ascii="Wingdings" w:hAnsi="Wingdings"/>
      </w:rPr>
    </w:lvl>
    <w:lvl w:ilvl="6">
      <w:numFmt w:val="bullet"/>
      <w:lvlText w:val=""/>
      <w:lvlJc w:val="left"/>
      <w:pPr>
        <w:ind w:left="5955" w:hanging="360"/>
      </w:pPr>
      <w:rPr>
        <w:rFonts w:ascii="Symbol" w:hAnsi="Symbol"/>
      </w:rPr>
    </w:lvl>
    <w:lvl w:ilvl="7">
      <w:numFmt w:val="bullet"/>
      <w:lvlText w:val="o"/>
      <w:lvlJc w:val="left"/>
      <w:pPr>
        <w:ind w:left="6675" w:hanging="360"/>
      </w:pPr>
      <w:rPr>
        <w:rFonts w:ascii="Courier New" w:hAnsi="Courier New" w:cs="Courier New"/>
      </w:rPr>
    </w:lvl>
    <w:lvl w:ilvl="8">
      <w:numFmt w:val="bullet"/>
      <w:lvlText w:val=""/>
      <w:lvlJc w:val="left"/>
      <w:pPr>
        <w:ind w:left="7395" w:hanging="360"/>
      </w:pPr>
      <w:rPr>
        <w:rFonts w:ascii="Wingdings" w:hAnsi="Wingdings"/>
      </w:rPr>
    </w:lvl>
  </w:abstractNum>
  <w:abstractNum w:abstractNumId="52" w15:restartNumberingAfterBreak="0">
    <w:nsid w:val="63D116B2"/>
    <w:multiLevelType w:val="multilevel"/>
    <w:tmpl w:val="AA063C5E"/>
    <w:styleLink w:val="WWNum3"/>
    <w:lvl w:ilvl="0">
      <w:start w:val="1"/>
      <w:numFmt w:val="decimal"/>
      <w:lvlText w:val="%1."/>
      <w:lvlJc w:val="left"/>
      <w:pPr>
        <w:ind w:left="720" w:hanging="360"/>
      </w:p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53" w15:restartNumberingAfterBreak="0">
    <w:nsid w:val="64AD10BD"/>
    <w:multiLevelType w:val="multilevel"/>
    <w:tmpl w:val="9F52741C"/>
    <w:styleLink w:val="WWNum26"/>
    <w:lvl w:ilvl="0">
      <w:start w:val="14"/>
      <w:numFmt w:val="decimal"/>
      <w:lvlText w:val="%1)"/>
      <w:lvlJc w:val="left"/>
      <w:pPr>
        <w:ind w:left="502" w:hanging="360"/>
      </w:pPr>
      <w:rPr>
        <w:b w:val="0"/>
        <w:i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67A14BDB"/>
    <w:multiLevelType w:val="multilevel"/>
    <w:tmpl w:val="96E41840"/>
    <w:lvl w:ilvl="0">
      <w:start w:val="1"/>
      <w:numFmt w:val="decimal"/>
      <w:lvlText w:val="%1."/>
      <w:lvlJc w:val="left"/>
      <w:pPr>
        <w:ind w:left="720" w:hanging="360"/>
      </w:pPr>
      <w:rPr>
        <w:rFonts w:ascii="Open Sans Light" w:hAnsi="Open Sans Light"/>
        <w:sz w:val="22"/>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5" w15:restartNumberingAfterBreak="0">
    <w:nsid w:val="685D1729"/>
    <w:multiLevelType w:val="multilevel"/>
    <w:tmpl w:val="49328964"/>
    <w:lvl w:ilvl="0">
      <w:start w:val="1"/>
      <w:numFmt w:val="lowerLetter"/>
      <w:lvlText w:val="%1)"/>
      <w:lvlJc w:val="left"/>
      <w:pPr>
        <w:ind w:left="1004" w:hanging="360"/>
      </w:pPr>
      <w:rPr>
        <w:rFonts w:ascii="Open Sans Light" w:hAnsi="Open Sans Light"/>
        <w:sz w:val="22"/>
      </w:rPr>
    </w:lvl>
    <w:lvl w:ilvl="1">
      <w:start w:val="1"/>
      <w:numFmt w:val="lowerLetter"/>
      <w:lvlText w:val="."/>
      <w:lvlJc w:val="left"/>
      <w:pPr>
        <w:ind w:left="1724" w:hanging="360"/>
      </w:pPr>
    </w:lvl>
    <w:lvl w:ilvl="2">
      <w:start w:val="1"/>
      <w:numFmt w:val="lowerRoman"/>
      <w:lvlText w:val="."/>
      <w:lvlJc w:val="right"/>
      <w:pPr>
        <w:ind w:left="2444" w:hanging="180"/>
      </w:pPr>
    </w:lvl>
    <w:lvl w:ilvl="3">
      <w:start w:val="1"/>
      <w:numFmt w:val="decimal"/>
      <w:lvlText w:val="."/>
      <w:lvlJc w:val="left"/>
      <w:pPr>
        <w:ind w:left="3164" w:hanging="360"/>
      </w:pPr>
    </w:lvl>
    <w:lvl w:ilvl="4">
      <w:start w:val="1"/>
      <w:numFmt w:val="lowerLetter"/>
      <w:lvlText w:val="."/>
      <w:lvlJc w:val="left"/>
      <w:pPr>
        <w:ind w:left="3884" w:hanging="360"/>
      </w:pPr>
    </w:lvl>
    <w:lvl w:ilvl="5">
      <w:start w:val="1"/>
      <w:numFmt w:val="lowerRoman"/>
      <w:lvlText w:val="."/>
      <w:lvlJc w:val="right"/>
      <w:pPr>
        <w:ind w:left="4604" w:hanging="180"/>
      </w:pPr>
    </w:lvl>
    <w:lvl w:ilvl="6">
      <w:start w:val="1"/>
      <w:numFmt w:val="decimal"/>
      <w:lvlText w:val="."/>
      <w:lvlJc w:val="left"/>
      <w:pPr>
        <w:ind w:left="5324" w:hanging="360"/>
      </w:pPr>
    </w:lvl>
    <w:lvl w:ilvl="7">
      <w:start w:val="1"/>
      <w:numFmt w:val="lowerLetter"/>
      <w:lvlText w:val="."/>
      <w:lvlJc w:val="left"/>
      <w:pPr>
        <w:ind w:left="6044" w:hanging="360"/>
      </w:pPr>
    </w:lvl>
    <w:lvl w:ilvl="8">
      <w:start w:val="1"/>
      <w:numFmt w:val="lowerRoman"/>
      <w:lvlText w:val="."/>
      <w:lvlJc w:val="right"/>
      <w:pPr>
        <w:ind w:left="6764" w:hanging="180"/>
      </w:pPr>
    </w:lvl>
  </w:abstractNum>
  <w:abstractNum w:abstractNumId="56" w15:restartNumberingAfterBreak="0">
    <w:nsid w:val="6B420A39"/>
    <w:multiLevelType w:val="hybridMultilevel"/>
    <w:tmpl w:val="88A8FD52"/>
    <w:lvl w:ilvl="0" w:tplc="4E3CB954">
      <w:start w:val="1"/>
      <w:numFmt w:val="lowerLetter"/>
      <w:lvlText w:val="%1)"/>
      <w:lvlJc w:val="left"/>
      <w:pPr>
        <w:ind w:left="644" w:hanging="360"/>
      </w:pPr>
      <w:rPr>
        <w:rFonts w:ascii="Open Sans Light" w:hAnsi="Open Sans Light" w:hint="default"/>
        <w:sz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7" w15:restartNumberingAfterBreak="0">
    <w:nsid w:val="6C426A1B"/>
    <w:multiLevelType w:val="multilevel"/>
    <w:tmpl w:val="BCBE7892"/>
    <w:styleLink w:val="WWNum18"/>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6CB654A6"/>
    <w:multiLevelType w:val="multilevel"/>
    <w:tmpl w:val="5A142C2A"/>
    <w:lvl w:ilvl="0">
      <w:start w:val="1"/>
      <w:numFmt w:val="lowerLetter"/>
      <w:lvlText w:val="%1)"/>
      <w:lvlJc w:val="left"/>
      <w:pPr>
        <w:ind w:left="502" w:hanging="360"/>
      </w:pPr>
      <w:rPr>
        <w:rFonts w:ascii="Open Sans Light" w:hAnsi="Open Sans Light"/>
        <w:b w:val="0"/>
        <w:i w:val="0"/>
        <w:sz w:val="22"/>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6CEF53E7"/>
    <w:multiLevelType w:val="multilevel"/>
    <w:tmpl w:val="F4420A40"/>
    <w:styleLink w:val="WWNum16"/>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6D367B5B"/>
    <w:multiLevelType w:val="multilevel"/>
    <w:tmpl w:val="53BE0A2E"/>
    <w:styleLink w:val="WWNum31"/>
    <w:lvl w:ilvl="0">
      <w:numFmt w:val="bullet"/>
      <w:lvlText w:val="-"/>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6FC34A90"/>
    <w:multiLevelType w:val="multilevel"/>
    <w:tmpl w:val="59B4B188"/>
    <w:styleLink w:val="WWNum34"/>
    <w:lvl w:ilvl="0">
      <w:start w:val="1"/>
      <w:numFmt w:val="lowerLetter"/>
      <w:lvlText w:val="%1)"/>
      <w:lvlJc w:val="left"/>
      <w:pPr>
        <w:ind w:left="644" w:hanging="360"/>
      </w:pPr>
    </w:lvl>
    <w:lvl w:ilvl="1">
      <w:start w:val="1"/>
      <w:numFmt w:val="lowerLetter"/>
      <w:lvlText w:val="."/>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62" w15:restartNumberingAfterBreak="0">
    <w:nsid w:val="707A4DC6"/>
    <w:multiLevelType w:val="multilevel"/>
    <w:tmpl w:val="C7500684"/>
    <w:styleLink w:val="WWNum19"/>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717554F0"/>
    <w:multiLevelType w:val="multilevel"/>
    <w:tmpl w:val="9FE0DE9C"/>
    <w:lvl w:ilvl="0">
      <w:start w:val="1"/>
      <w:numFmt w:val="lowerLetter"/>
      <w:lvlText w:val="%1)"/>
      <w:lvlJc w:val="left"/>
      <w:pPr>
        <w:ind w:left="644" w:hanging="360"/>
      </w:pPr>
      <w:rPr>
        <w:rFonts w:ascii="Open Sans Light" w:hAnsi="Open Sans Light"/>
        <w:sz w:val="22"/>
      </w:rPr>
    </w:lvl>
    <w:lvl w:ilvl="1">
      <w:start w:val="1"/>
      <w:numFmt w:val="lowerLetter"/>
      <w:lvlText w:val="."/>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64" w15:restartNumberingAfterBreak="0">
    <w:nsid w:val="74C33BA4"/>
    <w:multiLevelType w:val="multilevel"/>
    <w:tmpl w:val="9BC69328"/>
    <w:styleLink w:val="WWNum21"/>
    <w:lvl w:ilvl="0">
      <w:start w:val="1"/>
      <w:numFmt w:val="lowerLetter"/>
      <w:lvlText w:val="%1)"/>
      <w:lvlJc w:val="left"/>
      <w:pPr>
        <w:ind w:left="1005" w:hanging="360"/>
      </w:pPr>
      <w:rPr>
        <w:b w:val="0"/>
      </w:rPr>
    </w:lvl>
    <w:lvl w:ilvl="1">
      <w:start w:val="1"/>
      <w:numFmt w:val="lowerLetter"/>
      <w:lvlText w:val="."/>
      <w:lvlJc w:val="left"/>
      <w:pPr>
        <w:ind w:left="1725" w:hanging="360"/>
      </w:pPr>
    </w:lvl>
    <w:lvl w:ilvl="2">
      <w:start w:val="1"/>
      <w:numFmt w:val="lowerRoman"/>
      <w:lvlText w:val="%1.%2.%3."/>
      <w:lvlJc w:val="right"/>
      <w:pPr>
        <w:ind w:left="2445" w:hanging="180"/>
      </w:pPr>
    </w:lvl>
    <w:lvl w:ilvl="3">
      <w:start w:val="1"/>
      <w:numFmt w:val="decimal"/>
      <w:lvlText w:val="%1.%2.%3.%4."/>
      <w:lvlJc w:val="left"/>
      <w:pPr>
        <w:ind w:left="3165" w:hanging="360"/>
      </w:pPr>
    </w:lvl>
    <w:lvl w:ilvl="4">
      <w:start w:val="1"/>
      <w:numFmt w:val="lowerLetter"/>
      <w:lvlText w:val="%1.%2.%3.%4.%5."/>
      <w:lvlJc w:val="left"/>
      <w:pPr>
        <w:ind w:left="3885" w:hanging="360"/>
      </w:pPr>
    </w:lvl>
    <w:lvl w:ilvl="5">
      <w:start w:val="1"/>
      <w:numFmt w:val="lowerRoman"/>
      <w:lvlText w:val="%1.%2.%3.%4.%5.%6."/>
      <w:lvlJc w:val="right"/>
      <w:pPr>
        <w:ind w:left="4605" w:hanging="180"/>
      </w:pPr>
    </w:lvl>
    <w:lvl w:ilvl="6">
      <w:start w:val="1"/>
      <w:numFmt w:val="decimal"/>
      <w:lvlText w:val="%1.%2.%3.%4.%5.%6.%7."/>
      <w:lvlJc w:val="left"/>
      <w:pPr>
        <w:ind w:left="5325" w:hanging="360"/>
      </w:pPr>
    </w:lvl>
    <w:lvl w:ilvl="7">
      <w:start w:val="1"/>
      <w:numFmt w:val="lowerLetter"/>
      <w:lvlText w:val="%1.%2.%3.%4.%5.%6.%7.%8."/>
      <w:lvlJc w:val="left"/>
      <w:pPr>
        <w:ind w:left="6045" w:hanging="360"/>
      </w:pPr>
    </w:lvl>
    <w:lvl w:ilvl="8">
      <w:start w:val="1"/>
      <w:numFmt w:val="lowerRoman"/>
      <w:lvlText w:val="%1.%2.%3.%4.%5.%6.%7.%8.%9."/>
      <w:lvlJc w:val="right"/>
      <w:pPr>
        <w:ind w:left="6765" w:hanging="180"/>
      </w:pPr>
    </w:lvl>
  </w:abstractNum>
  <w:abstractNum w:abstractNumId="65" w15:restartNumberingAfterBreak="0">
    <w:nsid w:val="75564098"/>
    <w:multiLevelType w:val="multilevel"/>
    <w:tmpl w:val="9154B6BC"/>
    <w:lvl w:ilvl="0">
      <w:start w:val="1"/>
      <w:numFmt w:val="lowerLetter"/>
      <w:lvlText w:val="%1)"/>
      <w:lvlJc w:val="left"/>
      <w:pPr>
        <w:ind w:left="720" w:hanging="360"/>
      </w:pPr>
      <w:rPr>
        <w:rFonts w:ascii="Open Sans Light" w:hAnsi="Open Sans Light"/>
        <w:sz w:val="22"/>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6" w15:restartNumberingAfterBreak="0">
    <w:nsid w:val="78D311DD"/>
    <w:multiLevelType w:val="multilevel"/>
    <w:tmpl w:val="9FAAAE1A"/>
    <w:lvl w:ilvl="0">
      <w:start w:val="1"/>
      <w:numFmt w:val="decimal"/>
      <w:lvlText w:val="%1."/>
      <w:lvlJc w:val="left"/>
      <w:pPr>
        <w:ind w:left="720" w:hanging="360"/>
      </w:pPr>
      <w:rPr>
        <w:rFonts w:hint="default"/>
        <w:color w:val="auto"/>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7" w15:restartNumberingAfterBreak="0">
    <w:nsid w:val="79B73D83"/>
    <w:multiLevelType w:val="multilevel"/>
    <w:tmpl w:val="2446DEE0"/>
    <w:lvl w:ilvl="0">
      <w:start w:val="1"/>
      <w:numFmt w:val="decimal"/>
      <w:lvlText w:val="%1."/>
      <w:lvlJc w:val="left"/>
      <w:pPr>
        <w:ind w:left="720" w:hanging="360"/>
      </w:pPr>
      <w:rPr>
        <w:rFonts w:ascii="Open Sans Light" w:hAnsi="Open Sans Light" w:cs="Open Sans Light"/>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8" w15:restartNumberingAfterBreak="0">
    <w:nsid w:val="7C3C645A"/>
    <w:multiLevelType w:val="multilevel"/>
    <w:tmpl w:val="1938B950"/>
    <w:styleLink w:val="WWNum6"/>
    <w:lvl w:ilvl="0">
      <w:start w:val="1"/>
      <w:numFmt w:val="lowerLetter"/>
      <w:lvlText w:val="%1)"/>
      <w:lvlJc w:val="left"/>
      <w:pPr>
        <w:ind w:left="2743" w:hanging="360"/>
      </w:pPr>
    </w:lvl>
    <w:lvl w:ilvl="1">
      <w:start w:val="1"/>
      <w:numFmt w:val="lowerLetter"/>
      <w:lvlText w:val="."/>
      <w:lvlJc w:val="left"/>
      <w:pPr>
        <w:ind w:left="3463" w:hanging="360"/>
      </w:pPr>
    </w:lvl>
    <w:lvl w:ilvl="2">
      <w:start w:val="1"/>
      <w:numFmt w:val="lowerRoman"/>
      <w:lvlText w:val="%1.%2.%3."/>
      <w:lvlJc w:val="right"/>
      <w:pPr>
        <w:ind w:left="4183" w:hanging="180"/>
      </w:pPr>
    </w:lvl>
    <w:lvl w:ilvl="3">
      <w:start w:val="1"/>
      <w:numFmt w:val="decimal"/>
      <w:lvlText w:val="%1.%2.%3.%4."/>
      <w:lvlJc w:val="left"/>
      <w:pPr>
        <w:ind w:left="4903" w:hanging="360"/>
      </w:pPr>
    </w:lvl>
    <w:lvl w:ilvl="4">
      <w:start w:val="1"/>
      <w:numFmt w:val="lowerLetter"/>
      <w:lvlText w:val="%1.%2.%3.%4.%5."/>
      <w:lvlJc w:val="left"/>
      <w:pPr>
        <w:ind w:left="5623" w:hanging="360"/>
      </w:pPr>
    </w:lvl>
    <w:lvl w:ilvl="5">
      <w:start w:val="1"/>
      <w:numFmt w:val="lowerRoman"/>
      <w:lvlText w:val="%1.%2.%3.%4.%5.%6."/>
      <w:lvlJc w:val="right"/>
      <w:pPr>
        <w:ind w:left="6343" w:hanging="180"/>
      </w:pPr>
    </w:lvl>
    <w:lvl w:ilvl="6">
      <w:start w:val="1"/>
      <w:numFmt w:val="decimal"/>
      <w:lvlText w:val="%1.%2.%3.%4.%5.%6.%7."/>
      <w:lvlJc w:val="left"/>
      <w:pPr>
        <w:ind w:left="7063" w:hanging="360"/>
      </w:pPr>
    </w:lvl>
    <w:lvl w:ilvl="7">
      <w:start w:val="1"/>
      <w:numFmt w:val="lowerLetter"/>
      <w:lvlText w:val="%1.%2.%3.%4.%5.%6.%7.%8."/>
      <w:lvlJc w:val="left"/>
      <w:pPr>
        <w:ind w:left="7783" w:hanging="360"/>
      </w:pPr>
    </w:lvl>
    <w:lvl w:ilvl="8">
      <w:start w:val="1"/>
      <w:numFmt w:val="lowerRoman"/>
      <w:lvlText w:val="%1.%2.%3.%4.%5.%6.%7.%8.%9."/>
      <w:lvlJc w:val="right"/>
      <w:pPr>
        <w:ind w:left="8503" w:hanging="180"/>
      </w:pPr>
    </w:lvl>
  </w:abstractNum>
  <w:abstractNum w:abstractNumId="69" w15:restartNumberingAfterBreak="0">
    <w:nsid w:val="7CFA5A27"/>
    <w:multiLevelType w:val="multilevel"/>
    <w:tmpl w:val="B6F2DA2C"/>
    <w:lvl w:ilvl="0">
      <w:start w:val="1"/>
      <w:numFmt w:val="lowerLetter"/>
      <w:lvlText w:val="%1)"/>
      <w:lvlJc w:val="left"/>
      <w:pPr>
        <w:ind w:left="720" w:hanging="360"/>
      </w:pPr>
      <w:rPr>
        <w:rFonts w:ascii="Open Sans Light" w:hAnsi="Open Sans Light"/>
        <w:sz w:val="22"/>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0" w15:restartNumberingAfterBreak="0">
    <w:nsid w:val="7ED333FD"/>
    <w:multiLevelType w:val="multilevel"/>
    <w:tmpl w:val="6942627A"/>
    <w:styleLink w:val="WWNum22"/>
    <w:lvl w:ilvl="0">
      <w:start w:val="1"/>
      <w:numFmt w:val="lowerLetter"/>
      <w:lvlText w:val="%1)"/>
      <w:lvlJc w:val="left"/>
      <w:pPr>
        <w:ind w:left="1080" w:hanging="360"/>
      </w:pPr>
      <w:rPr>
        <w:rFonts w:ascii="Open Sans Light" w:hAnsi="Open Sans Light" w:cs="Open Sans Light"/>
        <w:b w:val="0"/>
        <w:i w:val="0"/>
        <w:color w:val="000000"/>
        <w:sz w:val="24"/>
      </w:rPr>
    </w:lvl>
    <w:lvl w:ilvl="1">
      <w:start w:val="1"/>
      <w:numFmt w:val="lowerLetter"/>
      <w:lvlText w:val="."/>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num w:numId="1" w16cid:durableId="1961839687">
    <w:abstractNumId w:val="47"/>
  </w:num>
  <w:num w:numId="2" w16cid:durableId="566839761">
    <w:abstractNumId w:val="46"/>
  </w:num>
  <w:num w:numId="3" w16cid:durableId="678583505">
    <w:abstractNumId w:val="52"/>
  </w:num>
  <w:num w:numId="4" w16cid:durableId="288778818">
    <w:abstractNumId w:val="29"/>
  </w:num>
  <w:num w:numId="5" w16cid:durableId="1160848246">
    <w:abstractNumId w:val="3"/>
  </w:num>
  <w:num w:numId="6" w16cid:durableId="1026523021">
    <w:abstractNumId w:val="68"/>
  </w:num>
  <w:num w:numId="7" w16cid:durableId="161164517">
    <w:abstractNumId w:val="48"/>
  </w:num>
  <w:num w:numId="8" w16cid:durableId="496700637">
    <w:abstractNumId w:val="27"/>
  </w:num>
  <w:num w:numId="9" w16cid:durableId="1982729796">
    <w:abstractNumId w:val="1"/>
  </w:num>
  <w:num w:numId="10" w16cid:durableId="1518882191">
    <w:abstractNumId w:val="38"/>
  </w:num>
  <w:num w:numId="11" w16cid:durableId="1740976596">
    <w:abstractNumId w:val="37"/>
  </w:num>
  <w:num w:numId="12" w16cid:durableId="1078557615">
    <w:abstractNumId w:val="23"/>
  </w:num>
  <w:num w:numId="13" w16cid:durableId="289164803">
    <w:abstractNumId w:val="44"/>
  </w:num>
  <w:num w:numId="14" w16cid:durableId="1570648295">
    <w:abstractNumId w:val="31"/>
  </w:num>
  <w:num w:numId="15" w16cid:durableId="451746560">
    <w:abstractNumId w:val="50"/>
  </w:num>
  <w:num w:numId="16" w16cid:durableId="1602563871">
    <w:abstractNumId w:val="59"/>
  </w:num>
  <w:num w:numId="17" w16cid:durableId="990986552">
    <w:abstractNumId w:val="34"/>
  </w:num>
  <w:num w:numId="18" w16cid:durableId="1477993307">
    <w:abstractNumId w:val="57"/>
  </w:num>
  <w:num w:numId="19" w16cid:durableId="1003893924">
    <w:abstractNumId w:val="62"/>
  </w:num>
  <w:num w:numId="20" w16cid:durableId="1886405005">
    <w:abstractNumId w:val="4"/>
  </w:num>
  <w:num w:numId="21" w16cid:durableId="1220282834">
    <w:abstractNumId w:val="64"/>
  </w:num>
  <w:num w:numId="22" w16cid:durableId="534539719">
    <w:abstractNumId w:val="70"/>
  </w:num>
  <w:num w:numId="23" w16cid:durableId="768936900">
    <w:abstractNumId w:val="33"/>
  </w:num>
  <w:num w:numId="24" w16cid:durableId="1717701748">
    <w:abstractNumId w:val="51"/>
  </w:num>
  <w:num w:numId="25" w16cid:durableId="1474253542">
    <w:abstractNumId w:val="36"/>
  </w:num>
  <w:num w:numId="26" w16cid:durableId="1162889444">
    <w:abstractNumId w:val="53"/>
  </w:num>
  <w:num w:numId="27" w16cid:durableId="1176924602">
    <w:abstractNumId w:val="10"/>
  </w:num>
  <w:num w:numId="28" w16cid:durableId="182138310">
    <w:abstractNumId w:val="19"/>
  </w:num>
  <w:num w:numId="29" w16cid:durableId="2144034195">
    <w:abstractNumId w:val="7"/>
  </w:num>
  <w:num w:numId="30" w16cid:durableId="1515609148">
    <w:abstractNumId w:val="25"/>
  </w:num>
  <w:num w:numId="31" w16cid:durableId="2028604273">
    <w:abstractNumId w:val="60"/>
  </w:num>
  <w:num w:numId="32" w16cid:durableId="1975478215">
    <w:abstractNumId w:val="35"/>
  </w:num>
  <w:num w:numId="33" w16cid:durableId="2131238655">
    <w:abstractNumId w:val="0"/>
  </w:num>
  <w:num w:numId="34" w16cid:durableId="190807516">
    <w:abstractNumId w:val="61"/>
  </w:num>
  <w:num w:numId="35" w16cid:durableId="134373814">
    <w:abstractNumId w:val="43"/>
  </w:num>
  <w:num w:numId="36" w16cid:durableId="192236113">
    <w:abstractNumId w:val="18"/>
  </w:num>
  <w:num w:numId="37" w16cid:durableId="177044933">
    <w:abstractNumId w:val="6"/>
  </w:num>
  <w:num w:numId="38" w16cid:durableId="133720103">
    <w:abstractNumId w:val="9"/>
  </w:num>
  <w:num w:numId="39" w16cid:durableId="1416322788">
    <w:abstractNumId w:val="49"/>
  </w:num>
  <w:num w:numId="40" w16cid:durableId="1392079915">
    <w:abstractNumId w:val="28"/>
  </w:num>
  <w:num w:numId="41" w16cid:durableId="1862357360">
    <w:abstractNumId w:val="54"/>
  </w:num>
  <w:num w:numId="42" w16cid:durableId="1345009864">
    <w:abstractNumId w:val="55"/>
  </w:num>
  <w:num w:numId="43" w16cid:durableId="300618885">
    <w:abstractNumId w:val="30"/>
  </w:num>
  <w:num w:numId="44" w16cid:durableId="458303912">
    <w:abstractNumId w:val="5"/>
  </w:num>
  <w:num w:numId="45" w16cid:durableId="751393931">
    <w:abstractNumId w:val="15"/>
  </w:num>
  <w:num w:numId="46" w16cid:durableId="1999380898">
    <w:abstractNumId w:val="47"/>
    <w:lvlOverride w:ilvl="0">
      <w:startOverride w:val="1"/>
    </w:lvlOverride>
  </w:num>
  <w:num w:numId="47" w16cid:durableId="1623539979">
    <w:abstractNumId w:val="1"/>
    <w:lvlOverride w:ilvl="0">
      <w:startOverride w:val="1"/>
    </w:lvlOverride>
  </w:num>
  <w:num w:numId="48" w16cid:durableId="1230195465">
    <w:abstractNumId w:val="65"/>
  </w:num>
  <w:num w:numId="49" w16cid:durableId="164905716">
    <w:abstractNumId w:val="63"/>
  </w:num>
  <w:num w:numId="50" w16cid:durableId="695544698">
    <w:abstractNumId w:val="67"/>
  </w:num>
  <w:num w:numId="51" w16cid:durableId="686099964">
    <w:abstractNumId w:val="42"/>
  </w:num>
  <w:num w:numId="52" w16cid:durableId="1048262416">
    <w:abstractNumId w:val="69"/>
  </w:num>
  <w:num w:numId="53" w16cid:durableId="405688832">
    <w:abstractNumId w:val="66"/>
  </w:num>
  <w:num w:numId="54" w16cid:durableId="1006634850">
    <w:abstractNumId w:val="45"/>
  </w:num>
  <w:num w:numId="55" w16cid:durableId="1401245056">
    <w:abstractNumId w:val="20"/>
  </w:num>
  <w:num w:numId="56" w16cid:durableId="2079857704">
    <w:abstractNumId w:val="16"/>
  </w:num>
  <w:num w:numId="57" w16cid:durableId="1981378090">
    <w:abstractNumId w:val="34"/>
  </w:num>
  <w:num w:numId="58" w16cid:durableId="75828211">
    <w:abstractNumId w:val="4"/>
    <w:lvlOverride w:ilvl="0">
      <w:lvl w:ilvl="0">
        <w:start w:val="4"/>
        <w:numFmt w:val="lowerLetter"/>
        <w:lvlText w:val="%1)"/>
        <w:lvlJc w:val="left"/>
        <w:pPr>
          <w:ind w:left="502" w:hanging="360"/>
        </w:pPr>
      </w:lvl>
    </w:lvlOverride>
  </w:num>
  <w:num w:numId="59" w16cid:durableId="204295949">
    <w:abstractNumId w:val="40"/>
  </w:num>
  <w:num w:numId="60" w16cid:durableId="91635150">
    <w:abstractNumId w:val="58"/>
  </w:num>
  <w:num w:numId="61" w16cid:durableId="963001741">
    <w:abstractNumId w:val="41"/>
  </w:num>
  <w:num w:numId="62" w16cid:durableId="1294598318">
    <w:abstractNumId w:val="26"/>
  </w:num>
  <w:num w:numId="63" w16cid:durableId="429467245">
    <w:abstractNumId w:val="22"/>
  </w:num>
  <w:num w:numId="64" w16cid:durableId="1995797311">
    <w:abstractNumId w:val="12"/>
  </w:num>
  <w:num w:numId="65" w16cid:durableId="1624188438">
    <w:abstractNumId w:val="14"/>
  </w:num>
  <w:num w:numId="66" w16cid:durableId="659315511">
    <w:abstractNumId w:val="2"/>
  </w:num>
  <w:num w:numId="67" w16cid:durableId="427701552">
    <w:abstractNumId w:val="32"/>
  </w:num>
  <w:num w:numId="68" w16cid:durableId="542402430">
    <w:abstractNumId w:val="24"/>
  </w:num>
  <w:num w:numId="69" w16cid:durableId="1106463739">
    <w:abstractNumId w:val="56"/>
  </w:num>
  <w:num w:numId="70" w16cid:durableId="1064138118">
    <w:abstractNumId w:val="17"/>
  </w:num>
  <w:num w:numId="71" w16cid:durableId="26220953">
    <w:abstractNumId w:val="39"/>
  </w:num>
  <w:num w:numId="72" w16cid:durableId="966207386">
    <w:abstractNumId w:val="8"/>
  </w:num>
  <w:num w:numId="73" w16cid:durableId="99105789">
    <w:abstractNumId w:val="13"/>
  </w:num>
  <w:num w:numId="74" w16cid:durableId="2125423866">
    <w:abstractNumId w:val="11"/>
  </w:num>
  <w:num w:numId="75" w16cid:durableId="1279028103">
    <w:abstractNumId w:val="2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C82"/>
    <w:rsid w:val="00023B35"/>
    <w:rsid w:val="00031081"/>
    <w:rsid w:val="000549DD"/>
    <w:rsid w:val="00070B27"/>
    <w:rsid w:val="00090905"/>
    <w:rsid w:val="00090CF4"/>
    <w:rsid w:val="000977BC"/>
    <w:rsid w:val="000B6AB4"/>
    <w:rsid w:val="000B70C9"/>
    <w:rsid w:val="000F0252"/>
    <w:rsid w:val="000F79C8"/>
    <w:rsid w:val="00110C2E"/>
    <w:rsid w:val="00147173"/>
    <w:rsid w:val="00164C44"/>
    <w:rsid w:val="00186837"/>
    <w:rsid w:val="001A25AC"/>
    <w:rsid w:val="001A27A3"/>
    <w:rsid w:val="001B201E"/>
    <w:rsid w:val="001E2BC4"/>
    <w:rsid w:val="0020081D"/>
    <w:rsid w:val="00227AC8"/>
    <w:rsid w:val="002578D8"/>
    <w:rsid w:val="00276B45"/>
    <w:rsid w:val="0028292E"/>
    <w:rsid w:val="00290642"/>
    <w:rsid w:val="002A3ADB"/>
    <w:rsid w:val="002B2AE1"/>
    <w:rsid w:val="002C779A"/>
    <w:rsid w:val="002E4A7A"/>
    <w:rsid w:val="00324F08"/>
    <w:rsid w:val="00326431"/>
    <w:rsid w:val="00340FC3"/>
    <w:rsid w:val="00367467"/>
    <w:rsid w:val="00374B24"/>
    <w:rsid w:val="00374BBE"/>
    <w:rsid w:val="00381B5D"/>
    <w:rsid w:val="0038775B"/>
    <w:rsid w:val="003A4CC8"/>
    <w:rsid w:val="003C3362"/>
    <w:rsid w:val="003C5A3E"/>
    <w:rsid w:val="003C6181"/>
    <w:rsid w:val="00453A38"/>
    <w:rsid w:val="00462469"/>
    <w:rsid w:val="00492774"/>
    <w:rsid w:val="004B04C1"/>
    <w:rsid w:val="004C6EEB"/>
    <w:rsid w:val="004E527F"/>
    <w:rsid w:val="004E685D"/>
    <w:rsid w:val="00501668"/>
    <w:rsid w:val="00505674"/>
    <w:rsid w:val="00517154"/>
    <w:rsid w:val="0052714E"/>
    <w:rsid w:val="005B05D2"/>
    <w:rsid w:val="005B408D"/>
    <w:rsid w:val="005C53CE"/>
    <w:rsid w:val="005C7D85"/>
    <w:rsid w:val="005D0F1B"/>
    <w:rsid w:val="005E65DD"/>
    <w:rsid w:val="005F21BE"/>
    <w:rsid w:val="00601475"/>
    <w:rsid w:val="00617BF3"/>
    <w:rsid w:val="00635214"/>
    <w:rsid w:val="006376AA"/>
    <w:rsid w:val="00641BFF"/>
    <w:rsid w:val="00647BC8"/>
    <w:rsid w:val="0066210F"/>
    <w:rsid w:val="0067281E"/>
    <w:rsid w:val="00707389"/>
    <w:rsid w:val="0071077E"/>
    <w:rsid w:val="00743D2F"/>
    <w:rsid w:val="00753A21"/>
    <w:rsid w:val="007662EE"/>
    <w:rsid w:val="007774ED"/>
    <w:rsid w:val="007865CA"/>
    <w:rsid w:val="00787B5D"/>
    <w:rsid w:val="007A43CC"/>
    <w:rsid w:val="007B351F"/>
    <w:rsid w:val="007D2AB8"/>
    <w:rsid w:val="007D6D5B"/>
    <w:rsid w:val="007E7B4A"/>
    <w:rsid w:val="007E7EB8"/>
    <w:rsid w:val="007F3EB1"/>
    <w:rsid w:val="00834434"/>
    <w:rsid w:val="00844E72"/>
    <w:rsid w:val="00851321"/>
    <w:rsid w:val="008B67B4"/>
    <w:rsid w:val="008D6678"/>
    <w:rsid w:val="008D7173"/>
    <w:rsid w:val="008E4797"/>
    <w:rsid w:val="008F4C68"/>
    <w:rsid w:val="00930024"/>
    <w:rsid w:val="009440AE"/>
    <w:rsid w:val="009A5CD8"/>
    <w:rsid w:val="009B6008"/>
    <w:rsid w:val="009B71A3"/>
    <w:rsid w:val="009C4A9C"/>
    <w:rsid w:val="009F7B93"/>
    <w:rsid w:val="00A32E49"/>
    <w:rsid w:val="00A35CCF"/>
    <w:rsid w:val="00A50D61"/>
    <w:rsid w:val="00A61B8F"/>
    <w:rsid w:val="00A71CAE"/>
    <w:rsid w:val="00A776B8"/>
    <w:rsid w:val="00AC13D4"/>
    <w:rsid w:val="00AF40BC"/>
    <w:rsid w:val="00B05037"/>
    <w:rsid w:val="00B10A12"/>
    <w:rsid w:val="00B10BF2"/>
    <w:rsid w:val="00B826C5"/>
    <w:rsid w:val="00B97F9B"/>
    <w:rsid w:val="00BA1A3C"/>
    <w:rsid w:val="00BC13BC"/>
    <w:rsid w:val="00C0255F"/>
    <w:rsid w:val="00C05E17"/>
    <w:rsid w:val="00C179F2"/>
    <w:rsid w:val="00C45212"/>
    <w:rsid w:val="00C55C17"/>
    <w:rsid w:val="00C641BA"/>
    <w:rsid w:val="00D0529C"/>
    <w:rsid w:val="00D060FE"/>
    <w:rsid w:val="00D34E1A"/>
    <w:rsid w:val="00D565B0"/>
    <w:rsid w:val="00D63FE8"/>
    <w:rsid w:val="00D64A95"/>
    <w:rsid w:val="00D70EB3"/>
    <w:rsid w:val="00D86440"/>
    <w:rsid w:val="00D929CC"/>
    <w:rsid w:val="00D977E3"/>
    <w:rsid w:val="00DD230D"/>
    <w:rsid w:val="00DE5640"/>
    <w:rsid w:val="00DF3C82"/>
    <w:rsid w:val="00E33DBE"/>
    <w:rsid w:val="00E506B2"/>
    <w:rsid w:val="00E71053"/>
    <w:rsid w:val="00E73332"/>
    <w:rsid w:val="00E84555"/>
    <w:rsid w:val="00E900A8"/>
    <w:rsid w:val="00E97D34"/>
    <w:rsid w:val="00EE4E09"/>
    <w:rsid w:val="00EE572B"/>
    <w:rsid w:val="00F016CF"/>
    <w:rsid w:val="00F03DA1"/>
    <w:rsid w:val="00F1284D"/>
    <w:rsid w:val="00F3518D"/>
    <w:rsid w:val="00F63096"/>
    <w:rsid w:val="00F64E70"/>
    <w:rsid w:val="00F70F02"/>
    <w:rsid w:val="00F76C7F"/>
    <w:rsid w:val="00F814E4"/>
    <w:rsid w:val="00F85E6A"/>
    <w:rsid w:val="00FA231F"/>
    <w:rsid w:val="00FB365A"/>
    <w:rsid w:val="00FC440A"/>
    <w:rsid w:val="00FC4824"/>
    <w:rsid w:val="00FC7083"/>
    <w:rsid w:val="00FD1972"/>
    <w:rsid w:val="00FD26C7"/>
    <w:rsid w:val="00FE305B"/>
    <w:rsid w:val="00FF1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70BEA"/>
  <w15:docId w15:val="{F96338EF-6E3F-47C2-8654-71932F425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Tytu"/>
    <w:next w:val="Textbody"/>
    <w:uiPriority w:val="9"/>
    <w:qFormat/>
    <w:rsid w:val="009B6008"/>
    <w:pPr>
      <w:spacing w:before="120" w:after="120"/>
      <w:jc w:val="left"/>
      <w:outlineLvl w:val="0"/>
    </w:pPr>
    <w:rPr>
      <w:rFonts w:cs="Open Sans Light"/>
      <w:color w:val="215E99" w:themeColor="text2" w:themeTint="BF"/>
    </w:rPr>
  </w:style>
  <w:style w:type="paragraph" w:styleId="Nagwek2">
    <w:name w:val="heading 2"/>
    <w:basedOn w:val="Standard"/>
    <w:next w:val="Textbody"/>
    <w:uiPriority w:val="9"/>
    <w:semiHidden/>
    <w:unhideWhenUsed/>
    <w:qFormat/>
    <w:pPr>
      <w:keepNext/>
      <w:spacing w:before="120" w:after="120" w:line="360" w:lineRule="auto"/>
      <w:jc w:val="both"/>
      <w:outlineLvl w:val="1"/>
    </w:pPr>
    <w:rPr>
      <w:rFonts w:ascii="Arial" w:eastAsia="Times New Roman" w:hAnsi="Arial" w:cs="Times New Roman"/>
      <w:b/>
      <w:i/>
      <w:sz w:val="24"/>
      <w:szCs w:val="20"/>
      <w:lang w:eastAsia="pl-PL"/>
    </w:rPr>
  </w:style>
  <w:style w:type="paragraph" w:styleId="Nagwek3">
    <w:name w:val="heading 3"/>
    <w:basedOn w:val="Standard"/>
    <w:next w:val="Textbody"/>
    <w:uiPriority w:val="9"/>
    <w:semiHidden/>
    <w:unhideWhenUsed/>
    <w:qFormat/>
    <w:pPr>
      <w:keepNext/>
      <w:tabs>
        <w:tab w:val="left" w:pos="3994"/>
      </w:tabs>
      <w:spacing w:before="240" w:after="120" w:line="360" w:lineRule="auto"/>
      <w:ind w:left="1997"/>
      <w:jc w:val="center"/>
      <w:outlineLvl w:val="2"/>
    </w:pPr>
    <w:rPr>
      <w:rFonts w:ascii="Arial" w:eastAsia="MS Mincho" w:hAnsi="Arial" w:cs="Times New Roman"/>
      <w:i/>
      <w:sz w:val="24"/>
      <w:szCs w:val="20"/>
      <w:lang w:val="en-US"/>
    </w:rPr>
  </w:style>
  <w:style w:type="paragraph" w:styleId="Nagwek4">
    <w:name w:val="heading 4"/>
    <w:basedOn w:val="Standard"/>
    <w:next w:val="Textbody"/>
    <w:uiPriority w:val="9"/>
    <w:semiHidden/>
    <w:unhideWhenUsed/>
    <w:qFormat/>
    <w:pPr>
      <w:keepNext/>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Standard"/>
    <w:next w:val="Textbody"/>
    <w:uiPriority w:val="9"/>
    <w:semiHidden/>
    <w:unhideWhenUsed/>
    <w:qFormat/>
    <w:pPr>
      <w:keepNext/>
      <w:spacing w:after="0" w:line="360" w:lineRule="auto"/>
      <w:jc w:val="both"/>
      <w:outlineLvl w:val="4"/>
    </w:pPr>
    <w:rPr>
      <w:rFonts w:ascii="Times New Roman" w:eastAsia="MS Mincho" w:hAnsi="Times New Roman" w:cs="Times New Roman"/>
      <w:sz w:val="24"/>
      <w:szCs w:val="20"/>
      <w:lang w:val="en-US"/>
    </w:rPr>
  </w:style>
  <w:style w:type="paragraph" w:styleId="Nagwek6">
    <w:name w:val="heading 6"/>
    <w:basedOn w:val="Standard"/>
    <w:next w:val="Textbody"/>
    <w:uiPriority w:val="9"/>
    <w:semiHidden/>
    <w:unhideWhenUsed/>
    <w:qFormat/>
    <w:pPr>
      <w:keepNext/>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Standard"/>
    <w:next w:val="Textbody"/>
    <w:pPr>
      <w:keepNext/>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Standard"/>
    <w:next w:val="Textbody"/>
    <w:p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Standard"/>
    <w:next w:val="Textbody"/>
    <w:p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Akapitzlist">
    <w:name w:val="List Paragraph"/>
    <w:basedOn w:val="Standard"/>
    <w:pPr>
      <w:ind w:left="720"/>
    </w:pPr>
  </w:style>
  <w:style w:type="paragraph" w:customStyle="1" w:styleId="ZnakZnak">
    <w:name w:val="Znak Znak"/>
    <w:basedOn w:val="Standard"/>
    <w:pPr>
      <w:spacing w:after="0" w:line="360" w:lineRule="auto"/>
      <w:jc w:val="both"/>
    </w:pPr>
    <w:rPr>
      <w:rFonts w:ascii="Verdana" w:eastAsia="Times New Roman" w:hAnsi="Verdana" w:cs="Times New Roman"/>
      <w:sz w:val="20"/>
      <w:szCs w:val="20"/>
      <w:lang w:eastAsia="pl-PL"/>
    </w:rPr>
  </w:style>
  <w:style w:type="paragraph" w:styleId="Tekstprzypisudolnego">
    <w:name w:val="footnote text"/>
    <w:basedOn w:val="Standard"/>
    <w:pPr>
      <w:spacing w:before="120" w:after="0" w:line="360" w:lineRule="auto"/>
      <w:jc w:val="both"/>
    </w:pPr>
    <w:rPr>
      <w:rFonts w:ascii="Times New Roman" w:eastAsia="Times New Roman" w:hAnsi="Times New Roman" w:cs="Times New Roman"/>
      <w:sz w:val="20"/>
      <w:szCs w:val="20"/>
      <w:lang w:val="en-US"/>
    </w:rPr>
  </w:style>
  <w:style w:type="paragraph" w:customStyle="1" w:styleId="Text1">
    <w:name w:val="Text 1"/>
    <w:basedOn w:val="Standard"/>
    <w:pPr>
      <w:spacing w:before="120" w:after="120" w:line="240" w:lineRule="auto"/>
      <w:ind w:left="850"/>
      <w:jc w:val="both"/>
    </w:pPr>
    <w:rPr>
      <w:rFonts w:ascii="Times New Roman" w:eastAsia="Times New Roman" w:hAnsi="Times New Roman" w:cs="Times New Roman"/>
      <w:sz w:val="24"/>
      <w:szCs w:val="24"/>
      <w:lang w:val="en-US"/>
    </w:rPr>
  </w:style>
  <w:style w:type="paragraph" w:customStyle="1" w:styleId="Akapit">
    <w:name w:val="Akapit"/>
    <w:basedOn w:val="Nagwek6"/>
    <w:pPr>
      <w:jc w:val="both"/>
    </w:pPr>
    <w:rPr>
      <w:b w:val="0"/>
      <w:sz w:val="24"/>
    </w:rPr>
  </w:style>
  <w:style w:type="paragraph" w:styleId="Tekstkomentarza">
    <w:name w:val="annotation text"/>
    <w:basedOn w:val="Standard"/>
    <w:pPr>
      <w:spacing w:line="240" w:lineRule="auto"/>
    </w:pPr>
    <w:rPr>
      <w:sz w:val="20"/>
      <w:szCs w:val="20"/>
    </w:rPr>
  </w:style>
  <w:style w:type="paragraph" w:styleId="Tematkomentarza">
    <w:name w:val="annotation subject"/>
    <w:basedOn w:val="Tekstkomentarza"/>
    <w:rPr>
      <w:b/>
      <w:bCs/>
    </w:rPr>
  </w:style>
  <w:style w:type="paragraph" w:styleId="Tekstdymka">
    <w:name w:val="Balloon Text"/>
    <w:basedOn w:val="Standard"/>
    <w:pPr>
      <w:spacing w:after="0" w:line="240" w:lineRule="auto"/>
    </w:pPr>
    <w:rPr>
      <w:rFonts w:ascii="Segoe UI" w:hAnsi="Segoe UI" w:cs="Segoe UI"/>
      <w:sz w:val="18"/>
      <w:szCs w:val="18"/>
    </w:rPr>
  </w:style>
  <w:style w:type="paragraph" w:styleId="Tekstpodstawowy2">
    <w:name w:val="Body Text 2"/>
    <w:basedOn w:val="Standard"/>
    <w:pPr>
      <w:spacing w:after="0" w:line="240" w:lineRule="auto"/>
      <w:jc w:val="both"/>
    </w:pPr>
    <w:rPr>
      <w:rFonts w:ascii="Times New Roman" w:eastAsia="Times New Roman" w:hAnsi="Times New Roman" w:cs="Times New Roman"/>
      <w:sz w:val="24"/>
      <w:szCs w:val="24"/>
      <w:lang w:eastAsia="pl-PL"/>
    </w:rPr>
  </w:style>
  <w:style w:type="paragraph" w:styleId="Tekstpodstawowy3">
    <w:name w:val="Body Text 3"/>
    <w:basedOn w:val="Standard"/>
    <w:pPr>
      <w:spacing w:after="120" w:line="360" w:lineRule="auto"/>
      <w:jc w:val="both"/>
    </w:pPr>
    <w:rPr>
      <w:rFonts w:ascii="Times New Roman" w:eastAsia="Times New Roman" w:hAnsi="Times New Roman" w:cs="Times New Roman"/>
      <w:sz w:val="16"/>
      <w:szCs w:val="16"/>
      <w:lang w:eastAsia="pl-PL"/>
    </w:rPr>
  </w:style>
  <w:style w:type="paragraph" w:customStyle="1" w:styleId="Default">
    <w:name w:val="Default"/>
    <w:pPr>
      <w:widowControl/>
      <w:suppressAutoHyphens/>
      <w:spacing w:after="0" w:line="240" w:lineRule="auto"/>
    </w:pPr>
    <w:rPr>
      <w:rFonts w:ascii="Arial" w:hAnsi="Arial" w:cs="Arial"/>
      <w:color w:val="000000"/>
      <w:sz w:val="24"/>
      <w:szCs w:val="24"/>
    </w:rPr>
  </w:style>
  <w:style w:type="paragraph" w:styleId="Poprawka">
    <w:name w:val="Revision"/>
    <w:pPr>
      <w:widowControl/>
      <w:suppressAutoHyphens/>
      <w:spacing w:after="0" w:line="240" w:lineRule="auto"/>
    </w:pPr>
  </w:style>
  <w:style w:type="paragraph" w:styleId="Nagwek">
    <w:name w:val="header"/>
    <w:basedOn w:val="Standard"/>
    <w:pPr>
      <w:suppressLineNumbers/>
      <w:tabs>
        <w:tab w:val="center" w:pos="4536"/>
        <w:tab w:val="right" w:pos="9072"/>
      </w:tabs>
      <w:spacing w:after="0" w:line="240" w:lineRule="auto"/>
    </w:pPr>
  </w:style>
  <w:style w:type="paragraph" w:styleId="Stopka">
    <w:name w:val="footer"/>
    <w:basedOn w:val="Standard"/>
    <w:uiPriority w:val="99"/>
    <w:pPr>
      <w:suppressLineNumbers/>
      <w:tabs>
        <w:tab w:val="center" w:pos="4536"/>
        <w:tab w:val="right" w:pos="9072"/>
      </w:tabs>
      <w:spacing w:after="0" w:line="240" w:lineRule="auto"/>
    </w:pPr>
  </w:style>
  <w:style w:type="paragraph" w:styleId="Tytu">
    <w:name w:val="Title"/>
    <w:basedOn w:val="Standard"/>
    <w:next w:val="Podtytu"/>
    <w:uiPriority w:val="10"/>
    <w:qFormat/>
    <w:pPr>
      <w:spacing w:after="0" w:line="240" w:lineRule="auto"/>
      <w:jc w:val="center"/>
    </w:pPr>
    <w:rPr>
      <w:rFonts w:ascii="Open Sans Light" w:hAnsi="Open Sans Light"/>
      <w:b/>
      <w:bCs/>
      <w:spacing w:val="-10"/>
      <w:sz w:val="28"/>
      <w:szCs w:val="56"/>
    </w:rPr>
  </w:style>
  <w:style w:type="paragraph" w:styleId="Podtytu">
    <w:name w:val="Subtitle"/>
    <w:basedOn w:val="Heading"/>
    <w:next w:val="Textbody"/>
    <w:uiPriority w:val="11"/>
    <w:qFormat/>
    <w:pPr>
      <w:jc w:val="center"/>
    </w:pPr>
    <w:rPr>
      <w:i/>
      <w:iCs/>
    </w:rPr>
  </w:style>
  <w:style w:type="paragraph" w:customStyle="1" w:styleId="paragraph">
    <w:name w:val="paragraph"/>
    <w:basedOn w:val="Standard"/>
    <w:pPr>
      <w:spacing w:before="28" w:after="28" w:line="240" w:lineRule="auto"/>
    </w:pPr>
    <w:rPr>
      <w:rFonts w:ascii="Times New Roman" w:hAnsi="Times New Roman" w:cs="Times New Roman"/>
      <w:sz w:val="24"/>
      <w:szCs w:val="24"/>
      <w:lang w:eastAsia="pl-PL"/>
    </w:rPr>
  </w:style>
  <w:style w:type="paragraph" w:customStyle="1" w:styleId="Footnote">
    <w:name w:val="Footnote"/>
    <w:basedOn w:val="Standard"/>
    <w:pPr>
      <w:suppressLineNumbers/>
      <w:ind w:left="283" w:hanging="283"/>
    </w:pPr>
    <w:rPr>
      <w:sz w:val="20"/>
      <w:szCs w:val="20"/>
    </w:rPr>
  </w:style>
  <w:style w:type="character" w:customStyle="1" w:styleId="Nagwek1Znak">
    <w:name w:val="Nagłówek 1 Znak"/>
    <w:basedOn w:val="Domylnaczcionkaakapitu"/>
    <w:rPr>
      <w:rFonts w:ascii="Open Sans Light" w:eastAsia="MS Mincho" w:hAnsi="Open Sans Light" w:cs="Times New Roman"/>
      <w:b/>
      <w:sz w:val="28"/>
      <w:szCs w:val="20"/>
      <w:lang w:val="en-US" w:eastAsia="en-US"/>
    </w:rPr>
  </w:style>
  <w:style w:type="character" w:customStyle="1" w:styleId="Nagwek2Znak">
    <w:name w:val="Nagłówek 2 Znak"/>
    <w:basedOn w:val="Domylnaczcionkaakapitu"/>
    <w:rPr>
      <w:rFonts w:ascii="Arial" w:eastAsia="Times New Roman" w:hAnsi="Arial" w:cs="Times New Roman"/>
      <w:b/>
      <w:i/>
      <w:sz w:val="24"/>
      <w:szCs w:val="20"/>
      <w:lang w:eastAsia="pl-PL"/>
    </w:rPr>
  </w:style>
  <w:style w:type="character" w:customStyle="1" w:styleId="Nagwek3Znak">
    <w:name w:val="Nagłówek 3 Znak"/>
    <w:basedOn w:val="Domylnaczcionkaakapitu"/>
    <w:rPr>
      <w:rFonts w:ascii="Arial" w:eastAsia="MS Mincho" w:hAnsi="Arial" w:cs="Times New Roman"/>
      <w:i/>
      <w:sz w:val="24"/>
      <w:szCs w:val="20"/>
      <w:lang w:val="en-US" w:eastAsia="en-US"/>
    </w:rPr>
  </w:style>
  <w:style w:type="character" w:customStyle="1" w:styleId="Nagwek4Znak">
    <w:name w:val="Nagłówek 4 Znak"/>
    <w:basedOn w:val="Domylnaczcionkaakapitu"/>
    <w:rPr>
      <w:rFonts w:ascii="Arial" w:eastAsia="Times New Roman" w:hAnsi="Arial" w:cs="Times New Roman"/>
      <w:i/>
      <w:sz w:val="24"/>
      <w:szCs w:val="20"/>
      <w:lang w:eastAsia="pl-PL"/>
    </w:rPr>
  </w:style>
  <w:style w:type="character" w:customStyle="1" w:styleId="Nagwek5Znak">
    <w:name w:val="Nagłówek 5 Znak"/>
    <w:basedOn w:val="Domylnaczcionkaakapitu"/>
    <w:rPr>
      <w:rFonts w:ascii="Times New Roman" w:eastAsia="MS Mincho" w:hAnsi="Times New Roman" w:cs="Times New Roman"/>
      <w:sz w:val="24"/>
      <w:szCs w:val="20"/>
      <w:lang w:val="en-US" w:eastAsia="en-US"/>
    </w:rPr>
  </w:style>
  <w:style w:type="character" w:customStyle="1" w:styleId="Nagwek6Znak">
    <w:name w:val="Nagłówek 6 Znak"/>
    <w:basedOn w:val="Domylnaczcionkaakapitu"/>
    <w:rPr>
      <w:rFonts w:ascii="Times New Roman" w:eastAsia="Times New Roman" w:hAnsi="Times New Roman" w:cs="Times New Roman"/>
      <w:b/>
      <w:szCs w:val="24"/>
      <w:lang w:eastAsia="pl-PL"/>
    </w:rPr>
  </w:style>
  <w:style w:type="character" w:customStyle="1" w:styleId="Nagwek7Znak">
    <w:name w:val="Nagłówek 7 Znak"/>
    <w:basedOn w:val="Domylnaczcionkaakapitu"/>
    <w:rPr>
      <w:rFonts w:ascii="Times New Roman" w:eastAsia="Times New Roman" w:hAnsi="Times New Roman" w:cs="Times New Roman"/>
      <w:szCs w:val="24"/>
      <w:lang w:eastAsia="pl-PL"/>
    </w:rPr>
  </w:style>
  <w:style w:type="character" w:customStyle="1" w:styleId="Nagwek8Znak">
    <w:name w:val="Nagłówek 8 Znak"/>
    <w:basedOn w:val="Domylnaczcionkaakapitu"/>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rPr>
      <w:rFonts w:ascii="Arial" w:eastAsia="Times New Roman" w:hAnsi="Arial" w:cs="Arial"/>
      <w:lang w:eastAsia="pl-PL"/>
    </w:rPr>
  </w:style>
  <w:style w:type="character" w:styleId="Odwoanieprzypisudolnego">
    <w:name w:val="footnote reference"/>
    <w:rPr>
      <w:position w:val="0"/>
      <w:vertAlign w:val="superscript"/>
    </w:rPr>
  </w:style>
  <w:style w:type="character" w:customStyle="1" w:styleId="TekstprzypisudolnegoZnak">
    <w:name w:val="Tekst przypisu dolnego Znak"/>
    <w:basedOn w:val="Domylnaczcionkaakapitu"/>
    <w:rPr>
      <w:rFonts w:ascii="Times New Roman" w:eastAsia="Times New Roman" w:hAnsi="Times New Roman" w:cs="Times New Roman"/>
      <w:sz w:val="20"/>
      <w:szCs w:val="20"/>
      <w:lang w:val="en-US" w:eastAsia="en-US"/>
    </w:rPr>
  </w:style>
  <w:style w:type="character" w:customStyle="1" w:styleId="Text1Char">
    <w:name w:val="Text 1 Char"/>
    <w:rPr>
      <w:rFonts w:ascii="Times New Roman" w:eastAsia="Times New Roman" w:hAnsi="Times New Roman" w:cs="Times New Roman"/>
      <w:sz w:val="24"/>
      <w:szCs w:val="24"/>
      <w:lang w:val="en-US"/>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20"/>
    </w:rPr>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Segoe UI" w:hAnsi="Segoe UI" w:cs="Segoe UI"/>
      <w:sz w:val="18"/>
      <w:szCs w:val="18"/>
    </w:rPr>
  </w:style>
  <w:style w:type="character" w:customStyle="1" w:styleId="Tekstpodstawowy2Znak">
    <w:name w:val="Tekst podstawowy 2 Znak"/>
    <w:basedOn w:val="Domylnaczcionkaakapitu"/>
  </w:style>
  <w:style w:type="character" w:customStyle="1" w:styleId="Tekstpodstawowy2Znak1">
    <w:name w:val="Tekst podstawowy 2 Znak1"/>
    <w:basedOn w:val="Domylnaczcionkaakapitu"/>
    <w:rPr>
      <w:rFonts w:ascii="Times New Roman" w:eastAsia="Times New Roman" w:hAnsi="Times New Roman" w:cs="Times New Roman"/>
      <w:sz w:val="24"/>
      <w:szCs w:val="24"/>
      <w:lang w:eastAsia="pl-PL"/>
    </w:rPr>
  </w:style>
  <w:style w:type="character" w:customStyle="1" w:styleId="alb-s">
    <w:name w:val="a_lb-s"/>
    <w:basedOn w:val="Domylnaczcionkaakapitu"/>
  </w:style>
  <w:style w:type="character" w:customStyle="1" w:styleId="Tekstpodstawowy3Znak">
    <w:name w:val="Tekst podstawowy 3 Znak"/>
    <w:basedOn w:val="Domylnaczcionkaakapitu"/>
    <w:rPr>
      <w:rFonts w:ascii="Times New Roman" w:eastAsia="Times New Roman" w:hAnsi="Times New Roman" w:cs="Times New Roman"/>
      <w:sz w:val="16"/>
      <w:szCs w:val="16"/>
      <w:lang w:eastAsia="pl-PL"/>
    </w:rPr>
  </w:style>
  <w:style w:type="character" w:customStyle="1" w:styleId="NagwekZnak">
    <w:name w:val="Nagłówek Znak"/>
    <w:basedOn w:val="Domylnaczcionkaakapitu"/>
  </w:style>
  <w:style w:type="character" w:customStyle="1" w:styleId="StopkaZnak">
    <w:name w:val="Stopka Znak"/>
    <w:basedOn w:val="Domylnaczcionkaakapitu"/>
    <w:uiPriority w:val="99"/>
  </w:style>
  <w:style w:type="character" w:customStyle="1" w:styleId="TytuZnak">
    <w:name w:val="Tytuł Znak"/>
    <w:basedOn w:val="Domylnaczcionkaakapitu"/>
    <w:rPr>
      <w:rFonts w:ascii="Open Sans Light" w:hAnsi="Open Sans Light"/>
      <w:spacing w:val="-10"/>
      <w:kern w:val="3"/>
      <w:sz w:val="28"/>
      <w:szCs w:val="56"/>
    </w:rPr>
  </w:style>
  <w:style w:type="character" w:customStyle="1" w:styleId="normaltextrun">
    <w:name w:val="normaltextrun"/>
    <w:basedOn w:val="Domylnaczcionkaakapitu"/>
  </w:style>
  <w:style w:type="character" w:customStyle="1" w:styleId="eop">
    <w:name w:val="eop"/>
    <w:basedOn w:val="Domylnaczcionkaakapitu"/>
  </w:style>
  <w:style w:type="character" w:customStyle="1" w:styleId="ListLabel1">
    <w:name w:val="ListLabel 1"/>
    <w:rPr>
      <w:rFonts w:cs="Open Sans Light"/>
      <w:b w:val="0"/>
      <w:bCs w:val="0"/>
      <w:i w:val="0"/>
    </w:rPr>
  </w:style>
  <w:style w:type="character" w:customStyle="1" w:styleId="ListLabel2">
    <w:name w:val="ListLabel 2"/>
    <w:rPr>
      <w:rFonts w:cs="Courier New"/>
    </w:rPr>
  </w:style>
  <w:style w:type="character" w:customStyle="1" w:styleId="ListLabel3">
    <w:name w:val="ListLabel 3"/>
    <w:rPr>
      <w:b w:val="0"/>
      <w:i w:val="0"/>
    </w:rPr>
  </w:style>
  <w:style w:type="character" w:customStyle="1" w:styleId="ListLabel4">
    <w:name w:val="ListLabel 4"/>
    <w:rPr>
      <w:rFonts w:cs="Arial"/>
      <w:sz w:val="24"/>
      <w:szCs w:val="24"/>
    </w:rPr>
  </w:style>
  <w:style w:type="character" w:customStyle="1" w:styleId="ListLabel5">
    <w:name w:val="ListLabel 5"/>
    <w:rPr>
      <w:b w:val="0"/>
    </w:rPr>
  </w:style>
  <w:style w:type="character" w:customStyle="1" w:styleId="ListLabel6">
    <w:name w:val="ListLabel 6"/>
    <w:rPr>
      <w:b w:val="0"/>
      <w:i w:val="0"/>
      <w:color w:val="000000"/>
      <w:sz w:val="24"/>
    </w:rPr>
  </w:style>
  <w:style w:type="character" w:customStyle="1" w:styleId="ListLabel7">
    <w:name w:val="ListLabel 7"/>
    <w:rPr>
      <w:color w:val="00000A"/>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3001</Words>
  <Characters>18011</Characters>
  <Application>Microsoft Office Word</Application>
  <DocSecurity>0</DocSecurity>
  <Lines>150</Lines>
  <Paragraphs>41</Paragraphs>
  <ScaleCrop>false</ScaleCrop>
  <HeadingPairs>
    <vt:vector size="2" baseType="variant">
      <vt:variant>
        <vt:lpstr>Tytuł</vt:lpstr>
      </vt:variant>
      <vt:variant>
        <vt:i4>1</vt:i4>
      </vt:variant>
    </vt:vector>
  </HeadingPairs>
  <TitlesOfParts>
    <vt:vector size="1" baseType="lpstr">
      <vt:lpstr>Załącznik nr 8 do Regulaminu Dodatkowe warunki kwalifikowalności</vt:lpstr>
    </vt:vector>
  </TitlesOfParts>
  <Company>NFOSiGW</Company>
  <LinksUpToDate>false</LinksUpToDate>
  <CharactersWithSpaces>20971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Regulaminu Dodatkowe warunki kwalifikowalności</dc:title>
  <dc:creator>Ruszkowska Beata</dc:creator>
  <cp:lastModifiedBy>Borowska Anna</cp:lastModifiedBy>
  <cp:revision>5</cp:revision>
  <cp:lastPrinted>2025-11-21T14:11:00Z</cp:lastPrinted>
  <dcterms:created xsi:type="dcterms:W3CDTF">2025-10-13T06:44:00Z</dcterms:created>
  <dcterms:modified xsi:type="dcterms:W3CDTF">2025-11-21T14:11:00Z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NFOSIGW</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